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717"/>
        <w:gridCol w:w="876"/>
        <w:gridCol w:w="1475"/>
        <w:gridCol w:w="1316"/>
        <w:gridCol w:w="1133"/>
        <w:gridCol w:w="695"/>
        <w:gridCol w:w="695"/>
        <w:gridCol w:w="695"/>
        <w:gridCol w:w="694"/>
      </w:tblGrid>
      <w:tr w:rsidR="00737AB2" w:rsidRPr="00737AB2" w14:paraId="7EFB7E98" w14:textId="77777777" w:rsidTr="00737AB2">
        <w:trPr>
          <w:trHeight w:val="108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DAADD5F"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32"/>
                <w:szCs w:val="32"/>
              </w:rPr>
            </w:pPr>
            <w:r w:rsidRPr="00737AB2">
              <w:rPr>
                <w:rFonts w:ascii="宋体" w:hAnsi="宋体" w:cs="宋体" w:hint="eastAsia"/>
                <w:b/>
                <w:bCs/>
                <w:color w:val="000000"/>
                <w:kern w:val="0"/>
                <w:sz w:val="32"/>
                <w:szCs w:val="32"/>
              </w:rPr>
              <w:t>《生态社区评价标准》评分表</w:t>
            </w:r>
          </w:p>
        </w:tc>
      </w:tr>
      <w:tr w:rsidR="00737AB2" w:rsidRPr="00737AB2" w14:paraId="15084FD1" w14:textId="77777777" w:rsidTr="00CC2EE6">
        <w:trPr>
          <w:trHeight w:val="698"/>
        </w:trPr>
        <w:tc>
          <w:tcPr>
            <w:tcW w:w="432" w:type="pct"/>
            <w:vMerge w:val="restart"/>
            <w:tcBorders>
              <w:top w:val="single" w:sz="4" w:space="0" w:color="auto"/>
              <w:left w:val="single" w:sz="8" w:space="0" w:color="auto"/>
              <w:bottom w:val="nil"/>
              <w:right w:val="single" w:sz="4" w:space="0" w:color="auto"/>
            </w:tcBorders>
            <w:shd w:val="clear" w:color="auto" w:fill="E2EFD9" w:themeFill="accent6" w:themeFillTint="33"/>
            <w:vAlign w:val="center"/>
            <w:hideMark/>
          </w:tcPr>
          <w:p w14:paraId="11347B71"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项目信息</w:t>
            </w:r>
          </w:p>
        </w:tc>
        <w:tc>
          <w:tcPr>
            <w:tcW w:w="52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5705905"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项目名称</w:t>
            </w:r>
          </w:p>
        </w:tc>
        <w:tc>
          <w:tcPr>
            <w:tcW w:w="2365" w:type="pct"/>
            <w:gridSpan w:val="3"/>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13ECC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F97F0"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项目所在区位</w:t>
            </w:r>
          </w:p>
        </w:tc>
        <w:tc>
          <w:tcPr>
            <w:tcW w:w="1256" w:type="pct"/>
            <w:gridSpan w:val="3"/>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249F8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6E01C57F" w14:textId="77777777" w:rsidTr="00CC2EE6">
        <w:trPr>
          <w:trHeight w:val="698"/>
        </w:trPr>
        <w:tc>
          <w:tcPr>
            <w:tcW w:w="432" w:type="pct"/>
            <w:vMerge/>
            <w:tcBorders>
              <w:top w:val="single" w:sz="8" w:space="0" w:color="auto"/>
              <w:left w:val="single" w:sz="8" w:space="0" w:color="auto"/>
              <w:bottom w:val="nil"/>
              <w:right w:val="single" w:sz="4" w:space="0" w:color="auto"/>
            </w:tcBorders>
            <w:shd w:val="clear" w:color="auto" w:fill="E2EFD9" w:themeFill="accent6" w:themeFillTint="33"/>
            <w:vAlign w:val="center"/>
            <w:hideMark/>
          </w:tcPr>
          <w:p w14:paraId="7AEAB5A0"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nil"/>
              <w:right w:val="single" w:sz="4" w:space="0" w:color="auto"/>
            </w:tcBorders>
            <w:shd w:val="clear" w:color="auto" w:fill="E2EFD9" w:themeFill="accent6" w:themeFillTint="33"/>
            <w:vAlign w:val="center"/>
            <w:hideMark/>
          </w:tcPr>
          <w:p w14:paraId="1946BDE1"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规划用地面积</w:t>
            </w:r>
          </w:p>
        </w:tc>
        <w:tc>
          <w:tcPr>
            <w:tcW w:w="2365" w:type="pct"/>
            <w:gridSpan w:val="3"/>
            <w:tcBorders>
              <w:top w:val="single" w:sz="4" w:space="0" w:color="auto"/>
              <w:left w:val="nil"/>
              <w:bottom w:val="single" w:sz="4" w:space="0" w:color="auto"/>
              <w:right w:val="single" w:sz="4" w:space="0" w:color="000000"/>
            </w:tcBorders>
            <w:shd w:val="clear" w:color="auto" w:fill="E2EFD9" w:themeFill="accent6" w:themeFillTint="33"/>
            <w:noWrap/>
            <w:vAlign w:val="center"/>
            <w:hideMark/>
          </w:tcPr>
          <w:p w14:paraId="49EF12D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E2EFD9" w:themeFill="accent6" w:themeFillTint="33"/>
            <w:vAlign w:val="center"/>
            <w:hideMark/>
          </w:tcPr>
          <w:p w14:paraId="73B395FA"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建设用地面积</w:t>
            </w:r>
          </w:p>
        </w:tc>
        <w:tc>
          <w:tcPr>
            <w:tcW w:w="419" w:type="pct"/>
            <w:tcBorders>
              <w:top w:val="nil"/>
              <w:left w:val="nil"/>
              <w:bottom w:val="single" w:sz="4" w:space="0" w:color="auto"/>
              <w:right w:val="single" w:sz="4" w:space="0" w:color="auto"/>
            </w:tcBorders>
            <w:shd w:val="clear" w:color="auto" w:fill="E2EFD9" w:themeFill="accent6" w:themeFillTint="33"/>
            <w:noWrap/>
            <w:vAlign w:val="center"/>
            <w:hideMark/>
          </w:tcPr>
          <w:p w14:paraId="4B8D950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E2EFD9" w:themeFill="accent6" w:themeFillTint="33"/>
            <w:vAlign w:val="center"/>
            <w:hideMark/>
          </w:tcPr>
          <w:p w14:paraId="119AF51A"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规划人口</w:t>
            </w:r>
          </w:p>
        </w:tc>
        <w:tc>
          <w:tcPr>
            <w:tcW w:w="419" w:type="pct"/>
            <w:tcBorders>
              <w:top w:val="nil"/>
              <w:left w:val="nil"/>
              <w:bottom w:val="single" w:sz="4" w:space="0" w:color="auto"/>
              <w:right w:val="single" w:sz="4" w:space="0" w:color="auto"/>
            </w:tcBorders>
            <w:shd w:val="clear" w:color="auto" w:fill="E2EFD9" w:themeFill="accent6" w:themeFillTint="33"/>
            <w:vAlign w:val="center"/>
            <w:hideMark/>
          </w:tcPr>
          <w:p w14:paraId="00B9ABD5"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 xml:space="preserve">　</w:t>
            </w:r>
          </w:p>
        </w:tc>
      </w:tr>
      <w:tr w:rsidR="00CC2EE6" w:rsidRPr="00737AB2" w14:paraId="36AF86A7" w14:textId="77777777" w:rsidTr="00CC2EE6">
        <w:trPr>
          <w:trHeight w:val="525"/>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27F0A"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评价结论</w:t>
            </w:r>
          </w:p>
        </w:tc>
        <w:tc>
          <w:tcPr>
            <w:tcW w:w="528" w:type="pct"/>
            <w:tcBorders>
              <w:top w:val="single" w:sz="4" w:space="0" w:color="auto"/>
              <w:left w:val="nil"/>
              <w:bottom w:val="single" w:sz="4" w:space="0" w:color="auto"/>
              <w:right w:val="single" w:sz="4" w:space="0" w:color="auto"/>
            </w:tcBorders>
            <w:shd w:val="clear" w:color="auto" w:fill="auto"/>
            <w:vAlign w:val="center"/>
            <w:hideMark/>
          </w:tcPr>
          <w:p w14:paraId="5BD08935"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评价内容</w:t>
            </w:r>
          </w:p>
        </w:tc>
        <w:tc>
          <w:tcPr>
            <w:tcW w:w="889" w:type="pct"/>
            <w:tcBorders>
              <w:top w:val="nil"/>
              <w:left w:val="nil"/>
              <w:bottom w:val="single" w:sz="4" w:space="0" w:color="auto"/>
              <w:right w:val="single" w:sz="4" w:space="0" w:color="auto"/>
            </w:tcBorders>
            <w:shd w:val="clear" w:color="auto" w:fill="auto"/>
            <w:vAlign w:val="center"/>
            <w:hideMark/>
          </w:tcPr>
          <w:p w14:paraId="6A2CA9A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绿色空间</w:t>
            </w:r>
          </w:p>
        </w:tc>
        <w:tc>
          <w:tcPr>
            <w:tcW w:w="793" w:type="pct"/>
            <w:tcBorders>
              <w:top w:val="nil"/>
              <w:left w:val="nil"/>
              <w:bottom w:val="single" w:sz="4" w:space="0" w:color="auto"/>
              <w:right w:val="single" w:sz="4" w:space="0" w:color="auto"/>
            </w:tcBorders>
            <w:shd w:val="clear" w:color="auto" w:fill="auto"/>
            <w:vAlign w:val="center"/>
            <w:hideMark/>
          </w:tcPr>
          <w:p w14:paraId="4E74EE4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绿色环境</w:t>
            </w:r>
          </w:p>
        </w:tc>
        <w:tc>
          <w:tcPr>
            <w:tcW w:w="683" w:type="pct"/>
            <w:tcBorders>
              <w:top w:val="nil"/>
              <w:left w:val="nil"/>
              <w:bottom w:val="single" w:sz="4" w:space="0" w:color="auto"/>
              <w:right w:val="single" w:sz="4" w:space="0" w:color="auto"/>
            </w:tcBorders>
            <w:shd w:val="clear" w:color="auto" w:fill="auto"/>
            <w:vAlign w:val="center"/>
            <w:hideMark/>
          </w:tcPr>
          <w:p w14:paraId="76E6746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资源循环</w:t>
            </w:r>
          </w:p>
        </w:tc>
        <w:tc>
          <w:tcPr>
            <w:tcW w:w="419" w:type="pct"/>
            <w:tcBorders>
              <w:top w:val="nil"/>
              <w:left w:val="nil"/>
              <w:bottom w:val="single" w:sz="4" w:space="0" w:color="auto"/>
              <w:right w:val="single" w:sz="4" w:space="0" w:color="auto"/>
            </w:tcBorders>
            <w:shd w:val="clear" w:color="auto" w:fill="auto"/>
            <w:vAlign w:val="center"/>
            <w:hideMark/>
          </w:tcPr>
          <w:p w14:paraId="020DA13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绿色交通</w:t>
            </w:r>
          </w:p>
        </w:tc>
        <w:tc>
          <w:tcPr>
            <w:tcW w:w="419" w:type="pct"/>
            <w:tcBorders>
              <w:top w:val="nil"/>
              <w:left w:val="nil"/>
              <w:bottom w:val="single" w:sz="4" w:space="0" w:color="auto"/>
              <w:right w:val="single" w:sz="4" w:space="0" w:color="auto"/>
            </w:tcBorders>
            <w:shd w:val="clear" w:color="auto" w:fill="auto"/>
            <w:vAlign w:val="center"/>
            <w:hideMark/>
          </w:tcPr>
          <w:p w14:paraId="5FEE7B3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绿色建筑</w:t>
            </w:r>
          </w:p>
        </w:tc>
        <w:tc>
          <w:tcPr>
            <w:tcW w:w="419" w:type="pct"/>
            <w:tcBorders>
              <w:top w:val="nil"/>
              <w:left w:val="nil"/>
              <w:bottom w:val="single" w:sz="4" w:space="0" w:color="auto"/>
              <w:right w:val="single" w:sz="4" w:space="0" w:color="auto"/>
            </w:tcBorders>
            <w:shd w:val="clear" w:color="auto" w:fill="auto"/>
            <w:vAlign w:val="center"/>
            <w:hideMark/>
          </w:tcPr>
          <w:p w14:paraId="5AF8FA3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绿色人文</w:t>
            </w:r>
          </w:p>
        </w:tc>
        <w:tc>
          <w:tcPr>
            <w:tcW w:w="419" w:type="pct"/>
            <w:tcBorders>
              <w:top w:val="nil"/>
              <w:left w:val="nil"/>
              <w:bottom w:val="single" w:sz="4" w:space="0" w:color="auto"/>
              <w:right w:val="single" w:sz="4" w:space="0" w:color="auto"/>
            </w:tcBorders>
            <w:shd w:val="clear" w:color="auto" w:fill="auto"/>
            <w:vAlign w:val="center"/>
            <w:hideMark/>
          </w:tcPr>
          <w:p w14:paraId="1CA3102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优选项</w:t>
            </w:r>
          </w:p>
        </w:tc>
      </w:tr>
      <w:tr w:rsidR="00CC2EE6" w:rsidRPr="00737AB2" w14:paraId="00A7206E" w14:textId="77777777" w:rsidTr="00CC2EE6">
        <w:trPr>
          <w:trHeight w:val="525"/>
        </w:trPr>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CD9062"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single" w:sz="4" w:space="0" w:color="auto"/>
              <w:right w:val="single" w:sz="4" w:space="0" w:color="auto"/>
            </w:tcBorders>
            <w:shd w:val="clear" w:color="auto" w:fill="auto"/>
            <w:vAlign w:val="center"/>
            <w:hideMark/>
          </w:tcPr>
          <w:p w14:paraId="1728BFAB"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分项得分</w:t>
            </w:r>
          </w:p>
        </w:tc>
        <w:tc>
          <w:tcPr>
            <w:tcW w:w="889" w:type="pct"/>
            <w:tcBorders>
              <w:top w:val="nil"/>
              <w:left w:val="nil"/>
              <w:bottom w:val="single" w:sz="4" w:space="0" w:color="auto"/>
              <w:right w:val="single" w:sz="4" w:space="0" w:color="auto"/>
            </w:tcBorders>
            <w:shd w:val="clear" w:color="auto" w:fill="auto"/>
            <w:vAlign w:val="center"/>
            <w:hideMark/>
          </w:tcPr>
          <w:p w14:paraId="114DC23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793" w:type="pct"/>
            <w:tcBorders>
              <w:top w:val="nil"/>
              <w:left w:val="nil"/>
              <w:bottom w:val="single" w:sz="4" w:space="0" w:color="auto"/>
              <w:right w:val="single" w:sz="4" w:space="0" w:color="auto"/>
            </w:tcBorders>
            <w:shd w:val="clear" w:color="auto" w:fill="auto"/>
            <w:vAlign w:val="center"/>
            <w:hideMark/>
          </w:tcPr>
          <w:p w14:paraId="6F206935"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683" w:type="pct"/>
            <w:tcBorders>
              <w:top w:val="nil"/>
              <w:left w:val="nil"/>
              <w:bottom w:val="single" w:sz="4" w:space="0" w:color="auto"/>
              <w:right w:val="single" w:sz="4" w:space="0" w:color="auto"/>
            </w:tcBorders>
            <w:shd w:val="clear" w:color="auto" w:fill="auto"/>
            <w:vAlign w:val="center"/>
            <w:hideMark/>
          </w:tcPr>
          <w:p w14:paraId="4970FD0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0EA8E405"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004056C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3F4EDF2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4FD3852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09BDC1A4" w14:textId="77777777" w:rsidTr="00CC2EE6">
        <w:trPr>
          <w:trHeight w:val="525"/>
        </w:trPr>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93BC7B"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single" w:sz="4" w:space="0" w:color="auto"/>
              <w:right w:val="single" w:sz="4" w:space="0" w:color="auto"/>
            </w:tcBorders>
            <w:shd w:val="clear" w:color="auto" w:fill="auto"/>
            <w:vAlign w:val="center"/>
            <w:hideMark/>
          </w:tcPr>
          <w:p w14:paraId="0CB28E15"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总得分</w:t>
            </w:r>
          </w:p>
        </w:tc>
        <w:tc>
          <w:tcPr>
            <w:tcW w:w="4040" w:type="pct"/>
            <w:gridSpan w:val="7"/>
            <w:tcBorders>
              <w:top w:val="single" w:sz="4" w:space="0" w:color="auto"/>
              <w:left w:val="nil"/>
              <w:bottom w:val="single" w:sz="4" w:space="0" w:color="auto"/>
              <w:right w:val="single" w:sz="4" w:space="0" w:color="auto"/>
            </w:tcBorders>
            <w:shd w:val="clear" w:color="auto" w:fill="auto"/>
            <w:vAlign w:val="center"/>
            <w:hideMark/>
          </w:tcPr>
          <w:p w14:paraId="390180F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bookmarkStart w:id="0" w:name="_GoBack"/>
            <w:bookmarkEnd w:id="0"/>
            <w:r w:rsidRPr="00737AB2">
              <w:rPr>
                <w:rFonts w:ascii="宋体" w:hAnsi="宋体" w:cs="宋体" w:hint="eastAsia"/>
                <w:color w:val="000000"/>
                <w:kern w:val="0"/>
                <w:sz w:val="22"/>
              </w:rPr>
              <w:t xml:space="preserve">　</w:t>
            </w:r>
          </w:p>
        </w:tc>
      </w:tr>
      <w:tr w:rsidR="00737AB2" w:rsidRPr="00737AB2" w14:paraId="458D224A" w14:textId="77777777" w:rsidTr="00CC2EE6">
        <w:trPr>
          <w:trHeight w:val="525"/>
        </w:trPr>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BA5F08"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single" w:sz="4" w:space="0" w:color="auto"/>
              <w:right w:val="single" w:sz="4" w:space="0" w:color="auto"/>
            </w:tcBorders>
            <w:shd w:val="clear" w:color="auto" w:fill="auto"/>
            <w:vAlign w:val="center"/>
            <w:hideMark/>
          </w:tcPr>
          <w:p w14:paraId="3BDCA76C"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标识星级</w:t>
            </w:r>
          </w:p>
        </w:tc>
        <w:tc>
          <w:tcPr>
            <w:tcW w:w="4040" w:type="pct"/>
            <w:gridSpan w:val="7"/>
            <w:tcBorders>
              <w:top w:val="single" w:sz="4" w:space="0" w:color="auto"/>
              <w:left w:val="nil"/>
              <w:bottom w:val="single" w:sz="4" w:space="0" w:color="auto"/>
              <w:right w:val="single" w:sz="4" w:space="0" w:color="auto"/>
            </w:tcBorders>
            <w:shd w:val="clear" w:color="auto" w:fill="auto"/>
            <w:vAlign w:val="center"/>
            <w:hideMark/>
          </w:tcPr>
          <w:p w14:paraId="1B0FBB3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589EA11A" w14:textId="77777777" w:rsidTr="00CC2EE6">
        <w:trPr>
          <w:trHeight w:val="600"/>
        </w:trPr>
        <w:tc>
          <w:tcPr>
            <w:tcW w:w="432" w:type="pct"/>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52694267"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指标类别</w:t>
            </w:r>
          </w:p>
        </w:tc>
        <w:tc>
          <w:tcPr>
            <w:tcW w:w="528" w:type="pct"/>
            <w:tcBorders>
              <w:top w:val="nil"/>
              <w:left w:val="nil"/>
              <w:bottom w:val="single" w:sz="4" w:space="0" w:color="auto"/>
              <w:right w:val="single" w:sz="4" w:space="0" w:color="auto"/>
            </w:tcBorders>
            <w:shd w:val="clear" w:color="auto" w:fill="FBE4D5" w:themeFill="accent2" w:themeFillTint="33"/>
            <w:vAlign w:val="center"/>
            <w:hideMark/>
          </w:tcPr>
          <w:p w14:paraId="2B255B3C"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编码</w:t>
            </w:r>
          </w:p>
        </w:tc>
        <w:tc>
          <w:tcPr>
            <w:tcW w:w="889" w:type="pct"/>
            <w:tcBorders>
              <w:top w:val="nil"/>
              <w:left w:val="nil"/>
              <w:bottom w:val="single" w:sz="4" w:space="0" w:color="auto"/>
              <w:right w:val="single" w:sz="4" w:space="0" w:color="auto"/>
            </w:tcBorders>
            <w:shd w:val="clear" w:color="auto" w:fill="FBE4D5" w:themeFill="accent2" w:themeFillTint="33"/>
            <w:vAlign w:val="center"/>
            <w:hideMark/>
          </w:tcPr>
          <w:p w14:paraId="5329E343"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评价类别</w:t>
            </w:r>
          </w:p>
        </w:tc>
        <w:tc>
          <w:tcPr>
            <w:tcW w:w="1476" w:type="pct"/>
            <w:gridSpan w:val="2"/>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090072B6"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评价内容</w:t>
            </w:r>
          </w:p>
        </w:tc>
        <w:tc>
          <w:tcPr>
            <w:tcW w:w="419" w:type="pct"/>
            <w:tcBorders>
              <w:top w:val="nil"/>
              <w:left w:val="nil"/>
              <w:bottom w:val="single" w:sz="4" w:space="0" w:color="auto"/>
              <w:right w:val="single" w:sz="4" w:space="0" w:color="auto"/>
            </w:tcBorders>
            <w:shd w:val="clear" w:color="auto" w:fill="FBE4D5" w:themeFill="accent2" w:themeFillTint="33"/>
            <w:vAlign w:val="center"/>
            <w:hideMark/>
          </w:tcPr>
          <w:p w14:paraId="713D5CC6"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评价档次</w:t>
            </w:r>
          </w:p>
        </w:tc>
        <w:tc>
          <w:tcPr>
            <w:tcW w:w="419" w:type="pct"/>
            <w:tcBorders>
              <w:top w:val="nil"/>
              <w:left w:val="nil"/>
              <w:bottom w:val="single" w:sz="4" w:space="0" w:color="auto"/>
              <w:right w:val="single" w:sz="4" w:space="0" w:color="auto"/>
            </w:tcBorders>
            <w:shd w:val="clear" w:color="auto" w:fill="FBE4D5" w:themeFill="accent2" w:themeFillTint="33"/>
            <w:vAlign w:val="center"/>
            <w:hideMark/>
          </w:tcPr>
          <w:p w14:paraId="5A1CFBA8"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评分</w:t>
            </w:r>
          </w:p>
        </w:tc>
        <w:tc>
          <w:tcPr>
            <w:tcW w:w="419" w:type="pct"/>
            <w:tcBorders>
              <w:top w:val="nil"/>
              <w:left w:val="nil"/>
              <w:bottom w:val="single" w:sz="4" w:space="0" w:color="auto"/>
              <w:right w:val="single" w:sz="4" w:space="0" w:color="auto"/>
            </w:tcBorders>
            <w:shd w:val="clear" w:color="auto" w:fill="FBE4D5" w:themeFill="accent2" w:themeFillTint="33"/>
            <w:vAlign w:val="center"/>
            <w:hideMark/>
          </w:tcPr>
          <w:p w14:paraId="24EF533E"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得分</w:t>
            </w:r>
          </w:p>
        </w:tc>
        <w:tc>
          <w:tcPr>
            <w:tcW w:w="419" w:type="pct"/>
            <w:tcBorders>
              <w:top w:val="nil"/>
              <w:left w:val="nil"/>
              <w:bottom w:val="single" w:sz="4" w:space="0" w:color="auto"/>
              <w:right w:val="single" w:sz="4" w:space="0" w:color="auto"/>
            </w:tcBorders>
            <w:shd w:val="clear" w:color="auto" w:fill="FBE4D5" w:themeFill="accent2" w:themeFillTint="33"/>
            <w:vAlign w:val="center"/>
            <w:hideMark/>
          </w:tcPr>
          <w:p w14:paraId="0C594AFE"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备注</w:t>
            </w:r>
          </w:p>
        </w:tc>
      </w:tr>
      <w:tr w:rsidR="00737AB2" w:rsidRPr="00737AB2" w14:paraId="2603BDF4" w14:textId="77777777" w:rsidTr="00737AB2">
        <w:trPr>
          <w:trHeight w:val="649"/>
        </w:trPr>
        <w:tc>
          <w:tcPr>
            <w:tcW w:w="432" w:type="pct"/>
            <w:vMerge w:val="restart"/>
            <w:tcBorders>
              <w:top w:val="nil"/>
              <w:left w:val="single" w:sz="4" w:space="0" w:color="auto"/>
              <w:bottom w:val="single" w:sz="4" w:space="0" w:color="auto"/>
              <w:right w:val="single" w:sz="4" w:space="0" w:color="auto"/>
            </w:tcBorders>
            <w:shd w:val="clear" w:color="000000" w:fill="FFFFCC"/>
            <w:vAlign w:val="center"/>
            <w:hideMark/>
          </w:tcPr>
          <w:p w14:paraId="58975070"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绿色空间</w:t>
            </w:r>
          </w:p>
        </w:tc>
        <w:tc>
          <w:tcPr>
            <w:tcW w:w="528" w:type="pct"/>
            <w:vMerge w:val="restart"/>
            <w:tcBorders>
              <w:top w:val="nil"/>
              <w:left w:val="single" w:sz="4" w:space="0" w:color="auto"/>
              <w:bottom w:val="single" w:sz="4" w:space="0" w:color="auto"/>
              <w:right w:val="single" w:sz="4" w:space="0" w:color="auto"/>
            </w:tcBorders>
            <w:shd w:val="clear" w:color="000000" w:fill="FFFFCC"/>
            <w:vAlign w:val="center"/>
            <w:hideMark/>
          </w:tcPr>
          <w:p w14:paraId="3FF5CB6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4.1</w:t>
            </w:r>
          </w:p>
        </w:tc>
        <w:tc>
          <w:tcPr>
            <w:tcW w:w="889" w:type="pct"/>
            <w:vMerge w:val="restart"/>
            <w:tcBorders>
              <w:top w:val="nil"/>
              <w:left w:val="single" w:sz="4" w:space="0" w:color="auto"/>
              <w:bottom w:val="single" w:sz="4" w:space="0" w:color="auto"/>
              <w:right w:val="single" w:sz="4" w:space="0" w:color="auto"/>
            </w:tcBorders>
            <w:shd w:val="clear" w:color="000000" w:fill="FFFFCC"/>
            <w:vAlign w:val="center"/>
            <w:hideMark/>
          </w:tcPr>
          <w:p w14:paraId="53890BC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社区优先选址在已开发地区或已开发地区的邻近区域，周边设施便捷可达</w:t>
            </w: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4B95B792"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选址区域具备基本市政基础设施条件或规划提供市政基础服务</w:t>
            </w:r>
          </w:p>
        </w:tc>
        <w:tc>
          <w:tcPr>
            <w:tcW w:w="419" w:type="pct"/>
            <w:tcBorders>
              <w:top w:val="nil"/>
              <w:left w:val="nil"/>
              <w:bottom w:val="single" w:sz="4" w:space="0" w:color="auto"/>
              <w:right w:val="single" w:sz="4" w:space="0" w:color="auto"/>
            </w:tcBorders>
            <w:shd w:val="clear" w:color="000000" w:fill="FFFFCC"/>
            <w:vAlign w:val="center"/>
            <w:hideMark/>
          </w:tcPr>
          <w:p w14:paraId="49B0338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07B6AE6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064E24E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7EEB5AB5"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6BD671FD" w14:textId="77777777" w:rsidTr="00737AB2">
        <w:trPr>
          <w:trHeight w:val="570"/>
        </w:trPr>
        <w:tc>
          <w:tcPr>
            <w:tcW w:w="432" w:type="pct"/>
            <w:vMerge/>
            <w:tcBorders>
              <w:top w:val="nil"/>
              <w:left w:val="single" w:sz="4" w:space="0" w:color="auto"/>
              <w:bottom w:val="single" w:sz="4" w:space="0" w:color="auto"/>
              <w:right w:val="single" w:sz="4" w:space="0" w:color="auto"/>
            </w:tcBorders>
            <w:vAlign w:val="center"/>
            <w:hideMark/>
          </w:tcPr>
          <w:p w14:paraId="789AF834"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auto"/>
              <w:right w:val="single" w:sz="4" w:space="0" w:color="auto"/>
            </w:tcBorders>
            <w:vAlign w:val="center"/>
            <w:hideMark/>
          </w:tcPr>
          <w:p w14:paraId="6C30D66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289F176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7A516B02"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社区选址靠近已建成或规划建设的公共交通覆盖区域</w:t>
            </w:r>
          </w:p>
        </w:tc>
        <w:tc>
          <w:tcPr>
            <w:tcW w:w="419" w:type="pct"/>
            <w:tcBorders>
              <w:top w:val="nil"/>
              <w:left w:val="nil"/>
              <w:bottom w:val="single" w:sz="4" w:space="0" w:color="auto"/>
              <w:right w:val="single" w:sz="4" w:space="0" w:color="auto"/>
            </w:tcBorders>
            <w:shd w:val="clear" w:color="000000" w:fill="FFFFCC"/>
            <w:vAlign w:val="center"/>
            <w:hideMark/>
          </w:tcPr>
          <w:p w14:paraId="20832C75"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634D3A6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24C565B8"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43DC0C73"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5C34B403" w14:textId="77777777" w:rsidTr="00737AB2">
        <w:trPr>
          <w:trHeight w:val="570"/>
        </w:trPr>
        <w:tc>
          <w:tcPr>
            <w:tcW w:w="432" w:type="pct"/>
            <w:vMerge/>
            <w:tcBorders>
              <w:top w:val="nil"/>
              <w:left w:val="single" w:sz="4" w:space="0" w:color="auto"/>
              <w:bottom w:val="single" w:sz="4" w:space="0" w:color="auto"/>
              <w:right w:val="single" w:sz="4" w:space="0" w:color="auto"/>
            </w:tcBorders>
            <w:vAlign w:val="center"/>
            <w:hideMark/>
          </w:tcPr>
          <w:p w14:paraId="1CDFEB6D"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auto"/>
              <w:right w:val="single" w:sz="4" w:space="0" w:color="auto"/>
            </w:tcBorders>
            <w:vAlign w:val="center"/>
            <w:hideMark/>
          </w:tcPr>
          <w:p w14:paraId="55577975"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17DB5493"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5448416D"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社区选址临近文化、教育、体育、卫生、福利等公共服务设施</w:t>
            </w:r>
          </w:p>
        </w:tc>
        <w:tc>
          <w:tcPr>
            <w:tcW w:w="419" w:type="pct"/>
            <w:tcBorders>
              <w:top w:val="nil"/>
              <w:left w:val="nil"/>
              <w:bottom w:val="single" w:sz="4" w:space="0" w:color="auto"/>
              <w:right w:val="single" w:sz="4" w:space="0" w:color="auto"/>
            </w:tcBorders>
            <w:shd w:val="clear" w:color="000000" w:fill="FFFFCC"/>
            <w:vAlign w:val="center"/>
            <w:hideMark/>
          </w:tcPr>
          <w:p w14:paraId="7302CB0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4D3318D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3C4BE4F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469BA5C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5CA0301C" w14:textId="77777777" w:rsidTr="00737AB2">
        <w:trPr>
          <w:trHeight w:val="570"/>
        </w:trPr>
        <w:tc>
          <w:tcPr>
            <w:tcW w:w="432" w:type="pct"/>
            <w:vMerge/>
            <w:tcBorders>
              <w:top w:val="nil"/>
              <w:left w:val="single" w:sz="4" w:space="0" w:color="auto"/>
              <w:bottom w:val="single" w:sz="4" w:space="0" w:color="auto"/>
              <w:right w:val="single" w:sz="4" w:space="0" w:color="auto"/>
            </w:tcBorders>
            <w:vAlign w:val="center"/>
            <w:hideMark/>
          </w:tcPr>
          <w:p w14:paraId="6CEAD1AC"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077A939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4.2</w:t>
            </w:r>
          </w:p>
        </w:tc>
        <w:tc>
          <w:tcPr>
            <w:tcW w:w="889" w:type="pct"/>
            <w:vMerge w:val="restart"/>
            <w:tcBorders>
              <w:top w:val="nil"/>
              <w:left w:val="single" w:sz="4" w:space="0" w:color="auto"/>
              <w:bottom w:val="single" w:sz="4" w:space="0" w:color="auto"/>
              <w:right w:val="single" w:sz="4" w:space="0" w:color="auto"/>
            </w:tcBorders>
            <w:shd w:val="clear" w:color="000000" w:fill="FFFFCC"/>
            <w:vAlign w:val="center"/>
            <w:hideMark/>
          </w:tcPr>
          <w:p w14:paraId="047DF00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选择具有再开发潜力的用地进行社区建设</w:t>
            </w: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6E6E68BA"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对城市中老化的社区和危旧房进行改造、再开发</w:t>
            </w:r>
          </w:p>
        </w:tc>
        <w:tc>
          <w:tcPr>
            <w:tcW w:w="419" w:type="pct"/>
            <w:tcBorders>
              <w:top w:val="nil"/>
              <w:left w:val="nil"/>
              <w:bottom w:val="single" w:sz="4" w:space="0" w:color="auto"/>
              <w:right w:val="single" w:sz="4" w:space="0" w:color="auto"/>
            </w:tcBorders>
            <w:shd w:val="clear" w:color="000000" w:fill="FFFFCC"/>
            <w:vAlign w:val="center"/>
            <w:hideMark/>
          </w:tcPr>
          <w:p w14:paraId="1CB4912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000000" w:fill="FFFFCC"/>
            <w:vAlign w:val="center"/>
            <w:hideMark/>
          </w:tcPr>
          <w:p w14:paraId="56310FB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33356A3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2338FF2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0FFC7704" w14:textId="77777777" w:rsidTr="00737AB2">
        <w:trPr>
          <w:trHeight w:val="949"/>
        </w:trPr>
        <w:tc>
          <w:tcPr>
            <w:tcW w:w="432" w:type="pct"/>
            <w:vMerge/>
            <w:tcBorders>
              <w:top w:val="nil"/>
              <w:left w:val="single" w:sz="4" w:space="0" w:color="auto"/>
              <w:bottom w:val="single" w:sz="4" w:space="0" w:color="auto"/>
              <w:right w:val="single" w:sz="4" w:space="0" w:color="auto"/>
            </w:tcBorders>
            <w:vAlign w:val="center"/>
            <w:hideMark/>
          </w:tcPr>
          <w:p w14:paraId="086298F0"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4991DED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7C1ECC0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4485EDED"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对城市废弃地进行改良、再利用，开发前进行污染治理和环境修复，保证场地再利用的安全性</w:t>
            </w:r>
          </w:p>
        </w:tc>
        <w:tc>
          <w:tcPr>
            <w:tcW w:w="419" w:type="pct"/>
            <w:tcBorders>
              <w:top w:val="nil"/>
              <w:left w:val="nil"/>
              <w:bottom w:val="single" w:sz="4" w:space="0" w:color="auto"/>
              <w:right w:val="single" w:sz="4" w:space="0" w:color="auto"/>
            </w:tcBorders>
            <w:shd w:val="clear" w:color="000000" w:fill="FFFFCC"/>
            <w:vAlign w:val="center"/>
            <w:hideMark/>
          </w:tcPr>
          <w:p w14:paraId="61057EB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000000" w:fill="FFFFCC"/>
            <w:vAlign w:val="center"/>
            <w:hideMark/>
          </w:tcPr>
          <w:p w14:paraId="2ADB996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459923F1"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1F04A361"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0BFBA1F4" w14:textId="77777777" w:rsidTr="00737AB2">
        <w:trPr>
          <w:trHeight w:val="570"/>
        </w:trPr>
        <w:tc>
          <w:tcPr>
            <w:tcW w:w="432" w:type="pct"/>
            <w:vMerge/>
            <w:tcBorders>
              <w:top w:val="nil"/>
              <w:left w:val="single" w:sz="4" w:space="0" w:color="auto"/>
              <w:bottom w:val="single" w:sz="4" w:space="0" w:color="auto"/>
              <w:right w:val="single" w:sz="4" w:space="0" w:color="auto"/>
            </w:tcBorders>
            <w:vAlign w:val="center"/>
            <w:hideMark/>
          </w:tcPr>
          <w:p w14:paraId="636E7F76"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211CB5C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4.3</w:t>
            </w:r>
          </w:p>
        </w:tc>
        <w:tc>
          <w:tcPr>
            <w:tcW w:w="889" w:type="pct"/>
            <w:vMerge w:val="restart"/>
            <w:tcBorders>
              <w:top w:val="nil"/>
              <w:left w:val="single" w:sz="4" w:space="0" w:color="auto"/>
              <w:bottom w:val="single" w:sz="4" w:space="0" w:color="auto"/>
              <w:right w:val="single" w:sz="4" w:space="0" w:color="auto"/>
            </w:tcBorders>
            <w:shd w:val="clear" w:color="000000" w:fill="FFFFCC"/>
            <w:vAlign w:val="center"/>
            <w:hideMark/>
          </w:tcPr>
          <w:p w14:paraId="65753F1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社区用地及周边的自然</w:t>
            </w:r>
            <w:r w:rsidRPr="00737AB2">
              <w:rPr>
                <w:rFonts w:ascii="宋体" w:hAnsi="宋体" w:cs="宋体" w:hint="eastAsia"/>
                <w:color w:val="000000"/>
                <w:kern w:val="0"/>
                <w:sz w:val="22"/>
              </w:rPr>
              <w:lastRenderedPageBreak/>
              <w:t>生态环境得到保护</w:t>
            </w: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5E026C56"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lastRenderedPageBreak/>
              <w:t>规划设计因地制宜，与周围生态环境建立有机共生关系</w:t>
            </w:r>
          </w:p>
        </w:tc>
        <w:tc>
          <w:tcPr>
            <w:tcW w:w="419" w:type="pct"/>
            <w:tcBorders>
              <w:top w:val="nil"/>
              <w:left w:val="nil"/>
              <w:bottom w:val="single" w:sz="4" w:space="0" w:color="auto"/>
              <w:right w:val="single" w:sz="4" w:space="0" w:color="auto"/>
            </w:tcBorders>
            <w:shd w:val="clear" w:color="000000" w:fill="FFFFCC"/>
            <w:vAlign w:val="center"/>
            <w:hideMark/>
          </w:tcPr>
          <w:p w14:paraId="1E02F94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000000" w:fill="FFFFCC"/>
            <w:vAlign w:val="center"/>
            <w:hideMark/>
          </w:tcPr>
          <w:p w14:paraId="73230BE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228CDD0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1108719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2B781976" w14:textId="77777777" w:rsidTr="00737AB2">
        <w:trPr>
          <w:trHeight w:val="1560"/>
        </w:trPr>
        <w:tc>
          <w:tcPr>
            <w:tcW w:w="432" w:type="pct"/>
            <w:vMerge/>
            <w:tcBorders>
              <w:top w:val="nil"/>
              <w:left w:val="single" w:sz="4" w:space="0" w:color="auto"/>
              <w:bottom w:val="single" w:sz="4" w:space="0" w:color="auto"/>
              <w:right w:val="single" w:sz="4" w:space="0" w:color="auto"/>
            </w:tcBorders>
            <w:vAlign w:val="center"/>
            <w:hideMark/>
          </w:tcPr>
          <w:p w14:paraId="4F80C22A"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19A5ABC3"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03BB1DE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3C76D406"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保持和利用原有地形、地貌和水体水系，开发建设时注意控制对原有场地形态的搅动。若社区用地中包含湿地或水系，设法保证湿地净损失为零，河道驳岸为生态型而</w:t>
            </w:r>
            <w:proofErr w:type="gramStart"/>
            <w:r w:rsidRPr="00737AB2">
              <w:rPr>
                <w:rFonts w:ascii="宋体" w:hAnsi="宋体" w:cs="宋体" w:hint="eastAsia"/>
                <w:color w:val="000000"/>
                <w:kern w:val="0"/>
                <w:sz w:val="22"/>
              </w:rPr>
              <w:t>非硬砌型</w:t>
            </w:r>
            <w:proofErr w:type="gramEnd"/>
          </w:p>
        </w:tc>
        <w:tc>
          <w:tcPr>
            <w:tcW w:w="419" w:type="pct"/>
            <w:tcBorders>
              <w:top w:val="nil"/>
              <w:left w:val="nil"/>
              <w:bottom w:val="single" w:sz="4" w:space="0" w:color="auto"/>
              <w:right w:val="single" w:sz="4" w:space="0" w:color="auto"/>
            </w:tcBorders>
            <w:shd w:val="clear" w:color="000000" w:fill="FFFFCC"/>
            <w:vAlign w:val="center"/>
            <w:hideMark/>
          </w:tcPr>
          <w:p w14:paraId="35B0D15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000000" w:fill="FFFFCC"/>
            <w:vAlign w:val="center"/>
            <w:hideMark/>
          </w:tcPr>
          <w:p w14:paraId="5B5C6E7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0406C65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12F3BBC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4578E272" w14:textId="77777777" w:rsidTr="00737AB2">
        <w:trPr>
          <w:trHeight w:val="600"/>
        </w:trPr>
        <w:tc>
          <w:tcPr>
            <w:tcW w:w="432" w:type="pct"/>
            <w:vMerge/>
            <w:tcBorders>
              <w:top w:val="nil"/>
              <w:left w:val="single" w:sz="4" w:space="0" w:color="auto"/>
              <w:bottom w:val="single" w:sz="4" w:space="0" w:color="auto"/>
              <w:right w:val="single" w:sz="4" w:space="0" w:color="auto"/>
            </w:tcBorders>
            <w:vAlign w:val="center"/>
            <w:hideMark/>
          </w:tcPr>
          <w:p w14:paraId="39759EFB"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7060D83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4.4</w:t>
            </w:r>
          </w:p>
        </w:tc>
        <w:tc>
          <w:tcPr>
            <w:tcW w:w="889" w:type="pct"/>
            <w:vMerge w:val="restart"/>
            <w:tcBorders>
              <w:top w:val="nil"/>
              <w:left w:val="single" w:sz="4" w:space="0" w:color="auto"/>
              <w:bottom w:val="single" w:sz="4" w:space="0" w:color="auto"/>
              <w:right w:val="single" w:sz="4" w:space="0" w:color="auto"/>
            </w:tcBorders>
            <w:shd w:val="clear" w:color="000000" w:fill="FFFFCC"/>
            <w:vAlign w:val="center"/>
            <w:hideMark/>
          </w:tcPr>
          <w:p w14:paraId="4E54092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结合地形、场地条件进行小尺度街区设计</w:t>
            </w:r>
          </w:p>
        </w:tc>
        <w:tc>
          <w:tcPr>
            <w:tcW w:w="793" w:type="pct"/>
            <w:vMerge w:val="restart"/>
            <w:tcBorders>
              <w:top w:val="nil"/>
              <w:left w:val="single" w:sz="4" w:space="0" w:color="auto"/>
              <w:bottom w:val="single" w:sz="4" w:space="0" w:color="auto"/>
              <w:right w:val="single" w:sz="4" w:space="0" w:color="auto"/>
            </w:tcBorders>
            <w:shd w:val="clear" w:color="000000" w:fill="FFFFCC"/>
            <w:vAlign w:val="center"/>
            <w:hideMark/>
          </w:tcPr>
          <w:p w14:paraId="08EF0BBC"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社区内居住、商办和混合用地中面积不大于</w:t>
            </w:r>
            <w:r w:rsidRPr="00737AB2">
              <w:rPr>
                <w:rFonts w:ascii="Calibri" w:hAnsi="Calibri" w:cs="Calibri"/>
                <w:color w:val="000000"/>
                <w:kern w:val="0"/>
                <w:sz w:val="22"/>
              </w:rPr>
              <w:t>2.0</w:t>
            </w:r>
            <w:r w:rsidRPr="00737AB2">
              <w:rPr>
                <w:rFonts w:ascii="宋体" w:hAnsi="宋体" w:cs="宋体" w:hint="eastAsia"/>
                <w:color w:val="000000"/>
                <w:kern w:val="0"/>
                <w:sz w:val="22"/>
              </w:rPr>
              <w:t>公顷的地块数量占地块总量的比例</w:t>
            </w:r>
          </w:p>
        </w:tc>
        <w:tc>
          <w:tcPr>
            <w:tcW w:w="683" w:type="pct"/>
            <w:tcBorders>
              <w:top w:val="nil"/>
              <w:left w:val="nil"/>
              <w:bottom w:val="single" w:sz="4" w:space="0" w:color="auto"/>
              <w:right w:val="single" w:sz="4" w:space="0" w:color="auto"/>
            </w:tcBorders>
            <w:shd w:val="clear" w:color="000000" w:fill="FFFFCC"/>
            <w:vAlign w:val="center"/>
            <w:hideMark/>
          </w:tcPr>
          <w:p w14:paraId="55A1EF7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w:t>
            </w:r>
            <w:r w:rsidRPr="00737AB2">
              <w:rPr>
                <w:rFonts w:ascii="Calibri" w:hAnsi="Calibri" w:cs="Calibri"/>
                <w:color w:val="000000"/>
                <w:kern w:val="0"/>
                <w:sz w:val="22"/>
              </w:rPr>
              <w:t>60%</w:t>
            </w:r>
          </w:p>
        </w:tc>
        <w:tc>
          <w:tcPr>
            <w:tcW w:w="419" w:type="pct"/>
            <w:tcBorders>
              <w:top w:val="nil"/>
              <w:left w:val="nil"/>
              <w:bottom w:val="single" w:sz="4" w:space="0" w:color="auto"/>
              <w:right w:val="single" w:sz="4" w:space="0" w:color="auto"/>
            </w:tcBorders>
            <w:shd w:val="clear" w:color="000000" w:fill="FFFFCC"/>
            <w:vAlign w:val="center"/>
            <w:hideMark/>
          </w:tcPr>
          <w:p w14:paraId="406D26C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3674E1F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3D0D22A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3BF873A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605DAF2D" w14:textId="77777777" w:rsidTr="00737AB2">
        <w:trPr>
          <w:trHeight w:val="600"/>
        </w:trPr>
        <w:tc>
          <w:tcPr>
            <w:tcW w:w="432" w:type="pct"/>
            <w:vMerge/>
            <w:tcBorders>
              <w:top w:val="nil"/>
              <w:left w:val="single" w:sz="4" w:space="0" w:color="auto"/>
              <w:bottom w:val="single" w:sz="4" w:space="0" w:color="auto"/>
              <w:right w:val="single" w:sz="4" w:space="0" w:color="auto"/>
            </w:tcBorders>
            <w:vAlign w:val="center"/>
            <w:hideMark/>
          </w:tcPr>
          <w:p w14:paraId="49940C06"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4F9E2F80"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02911BD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793" w:type="pct"/>
            <w:vMerge/>
            <w:tcBorders>
              <w:top w:val="nil"/>
              <w:left w:val="single" w:sz="4" w:space="0" w:color="auto"/>
              <w:bottom w:val="single" w:sz="4" w:space="0" w:color="auto"/>
              <w:right w:val="single" w:sz="4" w:space="0" w:color="auto"/>
            </w:tcBorders>
            <w:vAlign w:val="center"/>
            <w:hideMark/>
          </w:tcPr>
          <w:p w14:paraId="13E6C960"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683" w:type="pct"/>
            <w:tcBorders>
              <w:top w:val="nil"/>
              <w:left w:val="nil"/>
              <w:bottom w:val="single" w:sz="4" w:space="0" w:color="auto"/>
              <w:right w:val="single" w:sz="4" w:space="0" w:color="auto"/>
            </w:tcBorders>
            <w:shd w:val="clear" w:color="000000" w:fill="FFFFCC"/>
            <w:vAlign w:val="center"/>
            <w:hideMark/>
          </w:tcPr>
          <w:p w14:paraId="17C8246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w:t>
            </w:r>
            <w:r w:rsidRPr="00737AB2">
              <w:rPr>
                <w:rFonts w:ascii="Calibri" w:hAnsi="Calibri" w:cs="Calibri"/>
                <w:color w:val="000000"/>
                <w:kern w:val="0"/>
                <w:sz w:val="22"/>
              </w:rPr>
              <w:t>70%</w:t>
            </w:r>
          </w:p>
        </w:tc>
        <w:tc>
          <w:tcPr>
            <w:tcW w:w="419" w:type="pct"/>
            <w:tcBorders>
              <w:top w:val="nil"/>
              <w:left w:val="nil"/>
              <w:bottom w:val="single" w:sz="4" w:space="0" w:color="auto"/>
              <w:right w:val="single" w:sz="4" w:space="0" w:color="auto"/>
            </w:tcBorders>
            <w:shd w:val="clear" w:color="000000" w:fill="FFFFCC"/>
            <w:vAlign w:val="center"/>
            <w:hideMark/>
          </w:tcPr>
          <w:p w14:paraId="742A04B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000000" w:fill="FFFFCC"/>
            <w:vAlign w:val="center"/>
            <w:hideMark/>
          </w:tcPr>
          <w:p w14:paraId="0B03FD9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3324F96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2C80B2F2"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50240B71" w14:textId="77777777" w:rsidTr="00737AB2">
        <w:trPr>
          <w:trHeight w:val="915"/>
        </w:trPr>
        <w:tc>
          <w:tcPr>
            <w:tcW w:w="432" w:type="pct"/>
            <w:vMerge/>
            <w:tcBorders>
              <w:top w:val="nil"/>
              <w:left w:val="single" w:sz="4" w:space="0" w:color="auto"/>
              <w:bottom w:val="single" w:sz="4" w:space="0" w:color="auto"/>
              <w:right w:val="single" w:sz="4" w:space="0" w:color="auto"/>
            </w:tcBorders>
            <w:vAlign w:val="center"/>
            <w:hideMark/>
          </w:tcPr>
          <w:p w14:paraId="05163335"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3FB7344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725D27DC"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7ACF193B"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地块紧邻生活性道路一侧时，底层建筑界面控制线退让道路红线距离不大于10m，</w:t>
            </w:r>
            <w:proofErr w:type="gramStart"/>
            <w:r w:rsidRPr="00737AB2">
              <w:rPr>
                <w:rFonts w:ascii="宋体" w:hAnsi="宋体" w:cs="宋体" w:hint="eastAsia"/>
                <w:color w:val="000000"/>
                <w:kern w:val="0"/>
                <w:sz w:val="22"/>
              </w:rPr>
              <w:t>且建筑贴线率</w:t>
            </w:r>
            <w:proofErr w:type="gramEnd"/>
            <w:r w:rsidRPr="00737AB2">
              <w:rPr>
                <w:rFonts w:ascii="宋体" w:hAnsi="宋体" w:cs="宋体" w:hint="eastAsia"/>
                <w:color w:val="000000"/>
                <w:kern w:val="0"/>
                <w:sz w:val="22"/>
              </w:rPr>
              <w:t>不小于70%</w:t>
            </w:r>
          </w:p>
        </w:tc>
        <w:tc>
          <w:tcPr>
            <w:tcW w:w="419" w:type="pct"/>
            <w:tcBorders>
              <w:top w:val="nil"/>
              <w:left w:val="nil"/>
              <w:bottom w:val="single" w:sz="4" w:space="0" w:color="auto"/>
              <w:right w:val="single" w:sz="4" w:space="0" w:color="auto"/>
            </w:tcBorders>
            <w:shd w:val="clear" w:color="000000" w:fill="FFFFCC"/>
            <w:vAlign w:val="center"/>
            <w:hideMark/>
          </w:tcPr>
          <w:p w14:paraId="7607E57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27FA076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3DF9DA4C"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35386915"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1FCE9C7C" w14:textId="77777777" w:rsidTr="00737AB2">
        <w:trPr>
          <w:trHeight w:val="1272"/>
        </w:trPr>
        <w:tc>
          <w:tcPr>
            <w:tcW w:w="432" w:type="pct"/>
            <w:vMerge/>
            <w:tcBorders>
              <w:top w:val="nil"/>
              <w:left w:val="single" w:sz="4" w:space="0" w:color="auto"/>
              <w:bottom w:val="single" w:sz="4" w:space="0" w:color="auto"/>
              <w:right w:val="single" w:sz="4" w:space="0" w:color="auto"/>
            </w:tcBorders>
            <w:vAlign w:val="center"/>
            <w:hideMark/>
          </w:tcPr>
          <w:p w14:paraId="11D7CC77"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1ECB9F9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4.5</w:t>
            </w:r>
          </w:p>
        </w:tc>
        <w:tc>
          <w:tcPr>
            <w:tcW w:w="889" w:type="pct"/>
            <w:vMerge w:val="restart"/>
            <w:tcBorders>
              <w:top w:val="nil"/>
              <w:left w:val="single" w:sz="4" w:space="0" w:color="auto"/>
              <w:bottom w:val="single" w:sz="4" w:space="0" w:color="auto"/>
              <w:right w:val="single" w:sz="4" w:space="0" w:color="auto"/>
            </w:tcBorders>
            <w:shd w:val="clear" w:color="000000" w:fill="FFFFCC"/>
            <w:vAlign w:val="center"/>
            <w:hideMark/>
          </w:tcPr>
          <w:p w14:paraId="04B70E3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社区规划注重设置功能混合的街区</w:t>
            </w: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7DA95F6B"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合理规划每500米半径范围内包含居住用地、公共管理与公共服务设施用地、商业服务业设施用地等多种用地性质的混合用地。混合用地比例不小于60%</w:t>
            </w:r>
          </w:p>
        </w:tc>
        <w:tc>
          <w:tcPr>
            <w:tcW w:w="419" w:type="pct"/>
            <w:tcBorders>
              <w:top w:val="nil"/>
              <w:left w:val="nil"/>
              <w:bottom w:val="single" w:sz="4" w:space="0" w:color="auto"/>
              <w:right w:val="single" w:sz="4" w:space="0" w:color="auto"/>
            </w:tcBorders>
            <w:shd w:val="clear" w:color="000000" w:fill="FFFFCC"/>
            <w:vAlign w:val="center"/>
            <w:hideMark/>
          </w:tcPr>
          <w:p w14:paraId="65BE8D5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5A41646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19B496F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400F236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795A0021" w14:textId="77777777" w:rsidTr="00737AB2">
        <w:trPr>
          <w:trHeight w:val="1369"/>
        </w:trPr>
        <w:tc>
          <w:tcPr>
            <w:tcW w:w="432" w:type="pct"/>
            <w:vMerge/>
            <w:tcBorders>
              <w:top w:val="nil"/>
              <w:left w:val="single" w:sz="4" w:space="0" w:color="auto"/>
              <w:bottom w:val="single" w:sz="4" w:space="0" w:color="auto"/>
              <w:right w:val="single" w:sz="4" w:space="0" w:color="auto"/>
            </w:tcBorders>
            <w:vAlign w:val="center"/>
            <w:hideMark/>
          </w:tcPr>
          <w:p w14:paraId="54560801"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037DE8B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105603A9"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4ED726F0"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鼓励地块垂直空间上兼容居住、商业、办公、公共服务等多种功能混合开发。社区内采用垂直混合开发模式的地块面积占社区建设用地面积的比例不小于50%</w:t>
            </w:r>
          </w:p>
        </w:tc>
        <w:tc>
          <w:tcPr>
            <w:tcW w:w="419" w:type="pct"/>
            <w:tcBorders>
              <w:top w:val="nil"/>
              <w:left w:val="nil"/>
              <w:bottom w:val="single" w:sz="4" w:space="0" w:color="auto"/>
              <w:right w:val="single" w:sz="4" w:space="0" w:color="auto"/>
            </w:tcBorders>
            <w:shd w:val="clear" w:color="000000" w:fill="FFFFCC"/>
            <w:vAlign w:val="center"/>
            <w:hideMark/>
          </w:tcPr>
          <w:p w14:paraId="2EFD960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5171B0B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1195F17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405E3668"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0179AED4" w14:textId="77777777" w:rsidTr="00737AB2">
        <w:trPr>
          <w:trHeight w:val="600"/>
        </w:trPr>
        <w:tc>
          <w:tcPr>
            <w:tcW w:w="432" w:type="pct"/>
            <w:vMerge/>
            <w:tcBorders>
              <w:top w:val="nil"/>
              <w:left w:val="single" w:sz="4" w:space="0" w:color="auto"/>
              <w:bottom w:val="single" w:sz="4" w:space="0" w:color="auto"/>
              <w:right w:val="single" w:sz="4" w:space="0" w:color="auto"/>
            </w:tcBorders>
            <w:vAlign w:val="center"/>
            <w:hideMark/>
          </w:tcPr>
          <w:p w14:paraId="0CC3F5B7"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54B62D8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6BFE12F2"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0D29CBDF"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社区每</w:t>
            </w:r>
            <w:r w:rsidRPr="00737AB2">
              <w:rPr>
                <w:rFonts w:ascii="Calibri" w:hAnsi="Calibri" w:cs="Calibri"/>
                <w:color w:val="000000"/>
                <w:kern w:val="0"/>
                <w:sz w:val="22"/>
              </w:rPr>
              <w:t>500</w:t>
            </w:r>
            <w:r w:rsidRPr="00737AB2">
              <w:rPr>
                <w:rFonts w:ascii="宋体" w:hAnsi="宋体" w:cs="宋体" w:hint="eastAsia"/>
                <w:color w:val="000000"/>
                <w:kern w:val="0"/>
                <w:sz w:val="22"/>
              </w:rPr>
              <w:t>米半径范围内包含不少于</w:t>
            </w:r>
            <w:r w:rsidRPr="00737AB2">
              <w:rPr>
                <w:rFonts w:ascii="Calibri" w:hAnsi="Calibri" w:cs="Calibri"/>
                <w:color w:val="000000"/>
                <w:kern w:val="0"/>
                <w:sz w:val="22"/>
              </w:rPr>
              <w:t>6</w:t>
            </w:r>
            <w:r w:rsidRPr="00737AB2">
              <w:rPr>
                <w:rFonts w:ascii="宋体" w:hAnsi="宋体" w:cs="宋体" w:hint="eastAsia"/>
                <w:color w:val="000000"/>
                <w:kern w:val="0"/>
                <w:sz w:val="22"/>
              </w:rPr>
              <w:t>种社区公共设施</w:t>
            </w:r>
          </w:p>
        </w:tc>
        <w:tc>
          <w:tcPr>
            <w:tcW w:w="419" w:type="pct"/>
            <w:tcBorders>
              <w:top w:val="nil"/>
              <w:left w:val="nil"/>
              <w:bottom w:val="single" w:sz="4" w:space="0" w:color="auto"/>
              <w:right w:val="single" w:sz="4" w:space="0" w:color="auto"/>
            </w:tcBorders>
            <w:shd w:val="clear" w:color="000000" w:fill="FFFFCC"/>
            <w:vAlign w:val="center"/>
            <w:hideMark/>
          </w:tcPr>
          <w:p w14:paraId="177EEA8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7AF7FF9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1714B5FF"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1096BA6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31234726" w14:textId="77777777" w:rsidTr="00737AB2">
        <w:trPr>
          <w:trHeight w:val="630"/>
        </w:trPr>
        <w:tc>
          <w:tcPr>
            <w:tcW w:w="432" w:type="pct"/>
            <w:vMerge/>
            <w:tcBorders>
              <w:top w:val="nil"/>
              <w:left w:val="single" w:sz="4" w:space="0" w:color="auto"/>
              <w:bottom w:val="single" w:sz="4" w:space="0" w:color="auto"/>
              <w:right w:val="single" w:sz="4" w:space="0" w:color="auto"/>
            </w:tcBorders>
            <w:vAlign w:val="center"/>
            <w:hideMark/>
          </w:tcPr>
          <w:p w14:paraId="3434B157"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64842488"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3C7A572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3C6E37F4"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社区中的幼儿园和小学</w:t>
            </w:r>
            <w:r w:rsidRPr="00737AB2">
              <w:rPr>
                <w:rFonts w:ascii="Calibri" w:hAnsi="Calibri" w:cs="Calibri"/>
                <w:color w:val="000000"/>
                <w:kern w:val="0"/>
                <w:sz w:val="22"/>
              </w:rPr>
              <w:t>500</w:t>
            </w:r>
            <w:r w:rsidRPr="00737AB2">
              <w:rPr>
                <w:rFonts w:ascii="宋体" w:hAnsi="宋体" w:cs="宋体" w:hint="eastAsia"/>
                <w:color w:val="000000"/>
                <w:kern w:val="0"/>
                <w:sz w:val="22"/>
              </w:rPr>
              <w:t>米服务半径覆盖率达到</w:t>
            </w:r>
            <w:r w:rsidRPr="00737AB2">
              <w:rPr>
                <w:rFonts w:ascii="Calibri" w:hAnsi="Calibri" w:cs="Calibri"/>
                <w:color w:val="000000"/>
                <w:kern w:val="0"/>
                <w:sz w:val="22"/>
              </w:rPr>
              <w:t>100%</w:t>
            </w:r>
          </w:p>
        </w:tc>
        <w:tc>
          <w:tcPr>
            <w:tcW w:w="419" w:type="pct"/>
            <w:tcBorders>
              <w:top w:val="nil"/>
              <w:left w:val="nil"/>
              <w:bottom w:val="single" w:sz="4" w:space="0" w:color="auto"/>
              <w:right w:val="single" w:sz="4" w:space="0" w:color="auto"/>
            </w:tcBorders>
            <w:shd w:val="clear" w:color="000000" w:fill="FFFFCC"/>
            <w:vAlign w:val="center"/>
            <w:hideMark/>
          </w:tcPr>
          <w:p w14:paraId="6B655BB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2A7D422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226043AA"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621094A4"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21C4E98E" w14:textId="77777777" w:rsidTr="00737AB2">
        <w:trPr>
          <w:trHeight w:val="570"/>
        </w:trPr>
        <w:tc>
          <w:tcPr>
            <w:tcW w:w="432" w:type="pct"/>
            <w:vMerge/>
            <w:tcBorders>
              <w:top w:val="nil"/>
              <w:left w:val="single" w:sz="4" w:space="0" w:color="auto"/>
              <w:bottom w:val="single" w:sz="4" w:space="0" w:color="auto"/>
              <w:right w:val="single" w:sz="4" w:space="0" w:color="auto"/>
            </w:tcBorders>
            <w:vAlign w:val="center"/>
            <w:hideMark/>
          </w:tcPr>
          <w:p w14:paraId="316D420A"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478B4D2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4.6</w:t>
            </w:r>
          </w:p>
        </w:tc>
        <w:tc>
          <w:tcPr>
            <w:tcW w:w="889" w:type="pct"/>
            <w:vMerge w:val="restart"/>
            <w:tcBorders>
              <w:top w:val="nil"/>
              <w:left w:val="single" w:sz="4" w:space="0" w:color="auto"/>
              <w:bottom w:val="single" w:sz="4" w:space="0" w:color="auto"/>
              <w:right w:val="single" w:sz="4" w:space="0" w:color="auto"/>
            </w:tcBorders>
            <w:shd w:val="clear" w:color="000000" w:fill="FFFFCC"/>
            <w:vAlign w:val="center"/>
            <w:hideMark/>
          </w:tcPr>
          <w:p w14:paraId="461CA57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合理利用地下空间</w:t>
            </w: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5405AD10"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地下空间开发与地上建筑、停车场库、商业餐饮等功能紧密结合</w:t>
            </w:r>
          </w:p>
        </w:tc>
        <w:tc>
          <w:tcPr>
            <w:tcW w:w="419" w:type="pct"/>
            <w:tcBorders>
              <w:top w:val="nil"/>
              <w:left w:val="nil"/>
              <w:bottom w:val="single" w:sz="4" w:space="0" w:color="auto"/>
              <w:right w:val="single" w:sz="4" w:space="0" w:color="auto"/>
            </w:tcBorders>
            <w:shd w:val="clear" w:color="000000" w:fill="FFFFCC"/>
            <w:vAlign w:val="center"/>
            <w:hideMark/>
          </w:tcPr>
          <w:p w14:paraId="78CD13E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6E82787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1E5523F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4351520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10F4C202" w14:textId="77777777" w:rsidTr="00737AB2">
        <w:trPr>
          <w:trHeight w:val="570"/>
        </w:trPr>
        <w:tc>
          <w:tcPr>
            <w:tcW w:w="432" w:type="pct"/>
            <w:vMerge/>
            <w:tcBorders>
              <w:top w:val="nil"/>
              <w:left w:val="single" w:sz="4" w:space="0" w:color="auto"/>
              <w:bottom w:val="single" w:sz="4" w:space="0" w:color="auto"/>
              <w:right w:val="single" w:sz="4" w:space="0" w:color="auto"/>
            </w:tcBorders>
            <w:vAlign w:val="center"/>
            <w:hideMark/>
          </w:tcPr>
          <w:p w14:paraId="1A40AE9A"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3E76FE65"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760A4839"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0381A341"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综合协调地下空间规划设计与市政设施的布局</w:t>
            </w:r>
          </w:p>
        </w:tc>
        <w:tc>
          <w:tcPr>
            <w:tcW w:w="419" w:type="pct"/>
            <w:tcBorders>
              <w:top w:val="nil"/>
              <w:left w:val="nil"/>
              <w:bottom w:val="single" w:sz="4" w:space="0" w:color="auto"/>
              <w:right w:val="single" w:sz="4" w:space="0" w:color="auto"/>
            </w:tcBorders>
            <w:shd w:val="clear" w:color="000000" w:fill="FFFFCC"/>
            <w:vAlign w:val="center"/>
            <w:hideMark/>
          </w:tcPr>
          <w:p w14:paraId="1F60A17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5920576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48C61B8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731BEA34"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2878A4F2" w14:textId="77777777" w:rsidTr="00737AB2">
        <w:trPr>
          <w:trHeight w:val="330"/>
        </w:trPr>
        <w:tc>
          <w:tcPr>
            <w:tcW w:w="432" w:type="pct"/>
            <w:vMerge w:val="restart"/>
            <w:tcBorders>
              <w:top w:val="nil"/>
              <w:left w:val="single" w:sz="4" w:space="0" w:color="auto"/>
              <w:bottom w:val="single" w:sz="4" w:space="0" w:color="auto"/>
              <w:right w:val="single" w:sz="4" w:space="0" w:color="auto"/>
            </w:tcBorders>
            <w:shd w:val="clear" w:color="auto" w:fill="auto"/>
            <w:vAlign w:val="center"/>
            <w:hideMark/>
          </w:tcPr>
          <w:p w14:paraId="18C3769C"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绿色环境</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1DA9F4C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5.1</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1C2008F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绿化覆盖率大于社区总面积的35%；乔、灌、</w:t>
            </w:r>
            <w:proofErr w:type="gramStart"/>
            <w:r w:rsidRPr="00737AB2">
              <w:rPr>
                <w:rFonts w:ascii="宋体" w:hAnsi="宋体" w:cs="宋体" w:hint="eastAsia"/>
                <w:color w:val="000000"/>
                <w:kern w:val="0"/>
                <w:sz w:val="22"/>
              </w:rPr>
              <w:t>草合理</w:t>
            </w:r>
            <w:proofErr w:type="gramEnd"/>
            <w:r w:rsidRPr="00737AB2">
              <w:rPr>
                <w:rFonts w:ascii="宋体" w:hAnsi="宋体" w:cs="宋体" w:hint="eastAsia"/>
                <w:color w:val="000000"/>
                <w:kern w:val="0"/>
                <w:sz w:val="22"/>
              </w:rPr>
              <w:t>搭配，植物配置丰实度高；提倡屋顶、阳台等立体绿化</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140434E3"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绿化覆盖率达到</w:t>
            </w:r>
            <w:r w:rsidRPr="00737AB2">
              <w:rPr>
                <w:rFonts w:ascii="Calibri" w:hAnsi="Calibri" w:cs="Calibri"/>
                <w:color w:val="000000"/>
                <w:kern w:val="0"/>
                <w:sz w:val="22"/>
              </w:rPr>
              <w:t>35%</w:t>
            </w:r>
          </w:p>
        </w:tc>
        <w:tc>
          <w:tcPr>
            <w:tcW w:w="419" w:type="pct"/>
            <w:tcBorders>
              <w:top w:val="nil"/>
              <w:left w:val="nil"/>
              <w:bottom w:val="single" w:sz="4" w:space="0" w:color="auto"/>
              <w:right w:val="single" w:sz="4" w:space="0" w:color="auto"/>
            </w:tcBorders>
            <w:shd w:val="clear" w:color="auto" w:fill="auto"/>
            <w:vAlign w:val="center"/>
            <w:hideMark/>
          </w:tcPr>
          <w:p w14:paraId="006D9D7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auto" w:fill="auto"/>
            <w:vAlign w:val="center"/>
            <w:hideMark/>
          </w:tcPr>
          <w:p w14:paraId="083DBBA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43542FE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0FBEDED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19CE7C79" w14:textId="77777777" w:rsidTr="00737AB2">
        <w:trPr>
          <w:trHeight w:val="1830"/>
        </w:trPr>
        <w:tc>
          <w:tcPr>
            <w:tcW w:w="432" w:type="pct"/>
            <w:vMerge/>
            <w:tcBorders>
              <w:top w:val="nil"/>
              <w:left w:val="single" w:sz="4" w:space="0" w:color="auto"/>
              <w:bottom w:val="single" w:sz="4" w:space="0" w:color="auto"/>
              <w:right w:val="single" w:sz="4" w:space="0" w:color="auto"/>
            </w:tcBorders>
            <w:vAlign w:val="center"/>
            <w:hideMark/>
          </w:tcPr>
          <w:p w14:paraId="375C9787"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762DF80C"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5C91D4A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6198D57A"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植物配置丰实度：乔木量≥</w:t>
            </w:r>
            <w:r w:rsidRPr="00737AB2">
              <w:rPr>
                <w:rFonts w:ascii="Calibri" w:hAnsi="Calibri" w:cs="Calibri"/>
                <w:color w:val="000000"/>
                <w:kern w:val="0"/>
                <w:sz w:val="22"/>
              </w:rPr>
              <w:t>3</w:t>
            </w:r>
            <w:r w:rsidRPr="00737AB2">
              <w:rPr>
                <w:rFonts w:ascii="宋体" w:hAnsi="宋体" w:cs="宋体" w:hint="eastAsia"/>
                <w:color w:val="000000"/>
                <w:kern w:val="0"/>
                <w:sz w:val="22"/>
              </w:rPr>
              <w:t>株</w:t>
            </w:r>
            <w:r w:rsidRPr="00737AB2">
              <w:rPr>
                <w:rFonts w:ascii="Calibri" w:hAnsi="Calibri" w:cs="Calibri"/>
                <w:color w:val="000000"/>
                <w:kern w:val="0"/>
                <w:sz w:val="22"/>
              </w:rPr>
              <w:t>/100</w:t>
            </w:r>
            <w:r w:rsidRPr="00737AB2">
              <w:rPr>
                <w:rFonts w:ascii="宋体" w:hAnsi="宋体" w:cs="宋体" w:hint="eastAsia"/>
                <w:color w:val="000000"/>
                <w:kern w:val="0"/>
                <w:sz w:val="22"/>
              </w:rPr>
              <w:t>㎡绿地，立体或复层种植植物群落占绿地面积≥</w:t>
            </w:r>
            <w:r w:rsidRPr="00737AB2">
              <w:rPr>
                <w:rFonts w:ascii="Calibri" w:hAnsi="Calibri" w:cs="Calibri"/>
                <w:color w:val="000000"/>
                <w:kern w:val="0"/>
                <w:sz w:val="22"/>
              </w:rPr>
              <w:t>20%</w:t>
            </w:r>
            <w:r w:rsidRPr="00737AB2">
              <w:rPr>
                <w:rFonts w:ascii="宋体" w:hAnsi="宋体" w:cs="宋体" w:hint="eastAsia"/>
                <w:color w:val="000000"/>
                <w:kern w:val="0"/>
                <w:sz w:val="22"/>
              </w:rPr>
              <w:t>，三北地区木本植物种类≥</w:t>
            </w:r>
            <w:r w:rsidRPr="00737AB2">
              <w:rPr>
                <w:rFonts w:ascii="Calibri" w:hAnsi="Calibri" w:cs="Calibri"/>
                <w:color w:val="000000"/>
                <w:kern w:val="0"/>
                <w:sz w:val="22"/>
              </w:rPr>
              <w:t>40</w:t>
            </w:r>
            <w:r w:rsidRPr="00737AB2">
              <w:rPr>
                <w:rFonts w:ascii="宋体" w:hAnsi="宋体" w:cs="宋体" w:hint="eastAsia"/>
                <w:color w:val="000000"/>
                <w:kern w:val="0"/>
                <w:sz w:val="22"/>
              </w:rPr>
              <w:t>种；华中、华东地区木本植物种类≥</w:t>
            </w:r>
            <w:r w:rsidRPr="00737AB2">
              <w:rPr>
                <w:rFonts w:ascii="Calibri" w:hAnsi="Calibri" w:cs="Calibri"/>
                <w:color w:val="000000"/>
                <w:kern w:val="0"/>
                <w:sz w:val="22"/>
              </w:rPr>
              <w:t>50</w:t>
            </w:r>
            <w:r w:rsidRPr="00737AB2">
              <w:rPr>
                <w:rFonts w:ascii="宋体" w:hAnsi="宋体" w:cs="宋体" w:hint="eastAsia"/>
                <w:color w:val="000000"/>
                <w:kern w:val="0"/>
                <w:sz w:val="22"/>
              </w:rPr>
              <w:t>种；华南、西南地区木本植物种类≥</w:t>
            </w:r>
            <w:r w:rsidRPr="00737AB2">
              <w:rPr>
                <w:rFonts w:ascii="Calibri" w:hAnsi="Calibri" w:cs="Calibri"/>
                <w:color w:val="000000"/>
                <w:kern w:val="0"/>
                <w:sz w:val="22"/>
              </w:rPr>
              <w:t>60</w:t>
            </w:r>
            <w:r w:rsidRPr="00737AB2">
              <w:rPr>
                <w:rFonts w:ascii="宋体" w:hAnsi="宋体" w:cs="宋体" w:hint="eastAsia"/>
                <w:color w:val="000000"/>
                <w:kern w:val="0"/>
                <w:sz w:val="22"/>
              </w:rPr>
              <w:t>种</w:t>
            </w:r>
          </w:p>
        </w:tc>
        <w:tc>
          <w:tcPr>
            <w:tcW w:w="419" w:type="pct"/>
            <w:tcBorders>
              <w:top w:val="nil"/>
              <w:left w:val="nil"/>
              <w:bottom w:val="single" w:sz="4" w:space="0" w:color="auto"/>
              <w:right w:val="single" w:sz="4" w:space="0" w:color="auto"/>
            </w:tcBorders>
            <w:shd w:val="clear" w:color="auto" w:fill="auto"/>
            <w:vAlign w:val="center"/>
            <w:hideMark/>
          </w:tcPr>
          <w:p w14:paraId="3F4280F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755B315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467FCE3C"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3017BD8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2478F125" w14:textId="77777777" w:rsidTr="00737AB2">
        <w:trPr>
          <w:trHeight w:val="600"/>
        </w:trPr>
        <w:tc>
          <w:tcPr>
            <w:tcW w:w="432" w:type="pct"/>
            <w:vMerge/>
            <w:tcBorders>
              <w:top w:val="nil"/>
              <w:left w:val="single" w:sz="4" w:space="0" w:color="auto"/>
              <w:bottom w:val="single" w:sz="4" w:space="0" w:color="auto"/>
              <w:right w:val="single" w:sz="4" w:space="0" w:color="auto"/>
            </w:tcBorders>
            <w:vAlign w:val="center"/>
            <w:hideMark/>
          </w:tcPr>
          <w:p w14:paraId="2189E9AD"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42D662C5"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35980000"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2344D113"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提倡屋顶、阳台等立体绿化，且绿化面积达到绿化总面积的20%</w:t>
            </w:r>
          </w:p>
        </w:tc>
        <w:tc>
          <w:tcPr>
            <w:tcW w:w="419" w:type="pct"/>
            <w:tcBorders>
              <w:top w:val="nil"/>
              <w:left w:val="nil"/>
              <w:bottom w:val="single" w:sz="4" w:space="0" w:color="auto"/>
              <w:right w:val="single" w:sz="4" w:space="0" w:color="auto"/>
            </w:tcBorders>
            <w:shd w:val="clear" w:color="auto" w:fill="auto"/>
            <w:vAlign w:val="center"/>
            <w:hideMark/>
          </w:tcPr>
          <w:p w14:paraId="22158DE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2FF1EC7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6F09CD13"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660D3A0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0A6696E5" w14:textId="77777777" w:rsidTr="00737AB2">
        <w:trPr>
          <w:trHeight w:val="600"/>
        </w:trPr>
        <w:tc>
          <w:tcPr>
            <w:tcW w:w="432" w:type="pct"/>
            <w:vMerge/>
            <w:tcBorders>
              <w:top w:val="nil"/>
              <w:left w:val="single" w:sz="4" w:space="0" w:color="auto"/>
              <w:bottom w:val="single" w:sz="4" w:space="0" w:color="auto"/>
              <w:right w:val="single" w:sz="4" w:space="0" w:color="auto"/>
            </w:tcBorders>
            <w:vAlign w:val="center"/>
            <w:hideMark/>
          </w:tcPr>
          <w:p w14:paraId="4EC7EBE9"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66B230D2"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5D07C6B2"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0E5E95C6"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区内绿化有科普措施，植物有其名称、科属、特性、栽培方法等说明牌</w:t>
            </w:r>
          </w:p>
        </w:tc>
        <w:tc>
          <w:tcPr>
            <w:tcW w:w="419" w:type="pct"/>
            <w:tcBorders>
              <w:top w:val="nil"/>
              <w:left w:val="nil"/>
              <w:bottom w:val="single" w:sz="4" w:space="0" w:color="auto"/>
              <w:right w:val="single" w:sz="4" w:space="0" w:color="auto"/>
            </w:tcBorders>
            <w:shd w:val="clear" w:color="auto" w:fill="auto"/>
            <w:vAlign w:val="center"/>
            <w:hideMark/>
          </w:tcPr>
          <w:p w14:paraId="5DA4911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D5FEA9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33B8642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43E6DAD9"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4CC0641E" w14:textId="77777777" w:rsidTr="00737AB2">
        <w:trPr>
          <w:trHeight w:val="915"/>
        </w:trPr>
        <w:tc>
          <w:tcPr>
            <w:tcW w:w="432" w:type="pct"/>
            <w:vMerge/>
            <w:tcBorders>
              <w:top w:val="nil"/>
              <w:left w:val="single" w:sz="4" w:space="0" w:color="auto"/>
              <w:bottom w:val="single" w:sz="4" w:space="0" w:color="auto"/>
              <w:right w:val="single" w:sz="4" w:space="0" w:color="auto"/>
            </w:tcBorders>
            <w:vAlign w:val="center"/>
            <w:hideMark/>
          </w:tcPr>
          <w:p w14:paraId="1CB77D6D"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465374D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5.2</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0AB66FC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社区景观环境优美，兼具生态环境、休闲活动、景观文化功能</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13EB72C0"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社区四季有绿、三季有花，绿地种植保存率（成活率）不低于</w:t>
            </w:r>
            <w:r w:rsidRPr="00737AB2">
              <w:rPr>
                <w:rFonts w:ascii="Calibri" w:hAnsi="Calibri" w:cs="Calibri"/>
                <w:color w:val="000000"/>
                <w:kern w:val="0"/>
                <w:sz w:val="22"/>
              </w:rPr>
              <w:t>98%</w:t>
            </w:r>
            <w:r w:rsidRPr="00737AB2">
              <w:rPr>
                <w:rFonts w:ascii="宋体" w:hAnsi="宋体" w:cs="宋体" w:hint="eastAsia"/>
                <w:color w:val="000000"/>
                <w:kern w:val="0"/>
                <w:sz w:val="22"/>
              </w:rPr>
              <w:t>，优良率不低于</w:t>
            </w:r>
            <w:r w:rsidRPr="00737AB2">
              <w:rPr>
                <w:rFonts w:ascii="Calibri" w:hAnsi="Calibri" w:cs="Calibri"/>
                <w:color w:val="000000"/>
                <w:kern w:val="0"/>
                <w:sz w:val="22"/>
              </w:rPr>
              <w:t>90%</w:t>
            </w:r>
          </w:p>
        </w:tc>
        <w:tc>
          <w:tcPr>
            <w:tcW w:w="419" w:type="pct"/>
            <w:tcBorders>
              <w:top w:val="nil"/>
              <w:left w:val="nil"/>
              <w:bottom w:val="single" w:sz="4" w:space="0" w:color="auto"/>
              <w:right w:val="single" w:sz="4" w:space="0" w:color="auto"/>
            </w:tcBorders>
            <w:shd w:val="clear" w:color="auto" w:fill="auto"/>
            <w:vAlign w:val="center"/>
            <w:hideMark/>
          </w:tcPr>
          <w:p w14:paraId="4A9DE57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267935D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1314302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088761D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05DB7D20" w14:textId="77777777" w:rsidTr="00737AB2">
        <w:trPr>
          <w:trHeight w:val="570"/>
        </w:trPr>
        <w:tc>
          <w:tcPr>
            <w:tcW w:w="432" w:type="pct"/>
            <w:vMerge/>
            <w:tcBorders>
              <w:top w:val="nil"/>
              <w:left w:val="single" w:sz="4" w:space="0" w:color="auto"/>
              <w:bottom w:val="single" w:sz="4" w:space="0" w:color="auto"/>
              <w:right w:val="single" w:sz="4" w:space="0" w:color="auto"/>
            </w:tcBorders>
            <w:vAlign w:val="center"/>
            <w:hideMark/>
          </w:tcPr>
          <w:p w14:paraId="0BCDC0E6"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6F6DDD8A"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64D8FAD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731C89FC"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社区提供户外活动交往场所并健身设施和儿童游戏休闲活动设施</w:t>
            </w:r>
          </w:p>
        </w:tc>
        <w:tc>
          <w:tcPr>
            <w:tcW w:w="419" w:type="pct"/>
            <w:tcBorders>
              <w:top w:val="nil"/>
              <w:left w:val="nil"/>
              <w:bottom w:val="single" w:sz="4" w:space="0" w:color="auto"/>
              <w:right w:val="single" w:sz="4" w:space="0" w:color="auto"/>
            </w:tcBorders>
            <w:shd w:val="clear" w:color="auto" w:fill="auto"/>
            <w:vAlign w:val="center"/>
            <w:hideMark/>
          </w:tcPr>
          <w:p w14:paraId="28E66E0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2B16CDB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24DFC06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36E4E2BF"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08E10A67" w14:textId="77777777" w:rsidTr="00737AB2">
        <w:trPr>
          <w:trHeight w:val="570"/>
        </w:trPr>
        <w:tc>
          <w:tcPr>
            <w:tcW w:w="432" w:type="pct"/>
            <w:vMerge/>
            <w:tcBorders>
              <w:top w:val="nil"/>
              <w:left w:val="single" w:sz="4" w:space="0" w:color="auto"/>
              <w:bottom w:val="single" w:sz="4" w:space="0" w:color="auto"/>
              <w:right w:val="single" w:sz="4" w:space="0" w:color="auto"/>
            </w:tcBorders>
            <w:vAlign w:val="center"/>
            <w:hideMark/>
          </w:tcPr>
          <w:p w14:paraId="505BEFE5"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720EF1AA"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4259FFE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11BBA946"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社区通过园林空间、植物配置、小区雕塑等提供景观文化功能设施</w:t>
            </w:r>
          </w:p>
        </w:tc>
        <w:tc>
          <w:tcPr>
            <w:tcW w:w="419" w:type="pct"/>
            <w:tcBorders>
              <w:top w:val="nil"/>
              <w:left w:val="nil"/>
              <w:bottom w:val="single" w:sz="4" w:space="0" w:color="auto"/>
              <w:right w:val="single" w:sz="4" w:space="0" w:color="auto"/>
            </w:tcBorders>
            <w:shd w:val="clear" w:color="auto" w:fill="auto"/>
            <w:vAlign w:val="center"/>
            <w:hideMark/>
          </w:tcPr>
          <w:p w14:paraId="6759A02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7462853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029E330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0A195510"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0FE61475" w14:textId="77777777" w:rsidTr="00737AB2">
        <w:trPr>
          <w:trHeight w:val="1043"/>
        </w:trPr>
        <w:tc>
          <w:tcPr>
            <w:tcW w:w="432" w:type="pct"/>
            <w:vMerge/>
            <w:tcBorders>
              <w:top w:val="nil"/>
              <w:left w:val="single" w:sz="4" w:space="0" w:color="auto"/>
              <w:bottom w:val="single" w:sz="4" w:space="0" w:color="auto"/>
              <w:right w:val="single" w:sz="4" w:space="0" w:color="auto"/>
            </w:tcBorders>
            <w:vAlign w:val="center"/>
            <w:hideMark/>
          </w:tcPr>
          <w:p w14:paraId="3C58D5BE"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370CBDC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5.3</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7ED979D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注重生物多样性保护</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78244BA7" w14:textId="77777777" w:rsidR="00737AB2" w:rsidRPr="00737AB2" w:rsidRDefault="00737AB2" w:rsidP="00737AB2">
            <w:pPr>
              <w:widowControl/>
              <w:spacing w:line="240" w:lineRule="auto"/>
              <w:ind w:firstLineChars="0" w:firstLine="0"/>
              <w:rPr>
                <w:rFonts w:ascii="宋体" w:hAnsi="宋体" w:cs="宋体"/>
                <w:color w:val="000000"/>
                <w:kern w:val="0"/>
                <w:sz w:val="22"/>
              </w:rPr>
            </w:pPr>
            <w:proofErr w:type="gramStart"/>
            <w:r w:rsidRPr="00737AB2">
              <w:rPr>
                <w:rFonts w:ascii="宋体" w:hAnsi="宋体" w:cs="宋体" w:hint="eastAsia"/>
                <w:color w:val="000000"/>
                <w:kern w:val="0"/>
                <w:sz w:val="22"/>
              </w:rPr>
              <w:t>生态绿网连贯</w:t>
            </w:r>
            <w:proofErr w:type="gramEnd"/>
            <w:r w:rsidRPr="00737AB2">
              <w:rPr>
                <w:rFonts w:ascii="宋体" w:hAnsi="宋体" w:cs="宋体" w:hint="eastAsia"/>
                <w:color w:val="000000"/>
                <w:kern w:val="0"/>
                <w:sz w:val="22"/>
              </w:rPr>
              <w:t>：社区绿地系统均匀顺畅、连贯性良好，并与社区周边绿地系统相连接</w:t>
            </w:r>
          </w:p>
        </w:tc>
        <w:tc>
          <w:tcPr>
            <w:tcW w:w="419" w:type="pct"/>
            <w:tcBorders>
              <w:top w:val="nil"/>
              <w:left w:val="nil"/>
              <w:bottom w:val="single" w:sz="4" w:space="0" w:color="auto"/>
              <w:right w:val="single" w:sz="4" w:space="0" w:color="auto"/>
            </w:tcBorders>
            <w:shd w:val="clear" w:color="auto" w:fill="auto"/>
            <w:vAlign w:val="center"/>
            <w:hideMark/>
          </w:tcPr>
          <w:p w14:paraId="23772CF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2E05F8B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3622982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6833378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5D04D2CF" w14:textId="77777777" w:rsidTr="00737AB2">
        <w:trPr>
          <w:trHeight w:val="600"/>
        </w:trPr>
        <w:tc>
          <w:tcPr>
            <w:tcW w:w="432" w:type="pct"/>
            <w:vMerge/>
            <w:tcBorders>
              <w:top w:val="nil"/>
              <w:left w:val="single" w:sz="4" w:space="0" w:color="auto"/>
              <w:bottom w:val="single" w:sz="4" w:space="0" w:color="auto"/>
              <w:right w:val="single" w:sz="4" w:space="0" w:color="auto"/>
            </w:tcBorders>
            <w:vAlign w:val="center"/>
            <w:hideMark/>
          </w:tcPr>
          <w:p w14:paraId="08AB7AE3"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35961AA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5A893762"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5D1E85B7"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提倡种植本地植物：本地植物指数达到0.70</w:t>
            </w:r>
          </w:p>
        </w:tc>
        <w:tc>
          <w:tcPr>
            <w:tcW w:w="419" w:type="pct"/>
            <w:tcBorders>
              <w:top w:val="nil"/>
              <w:left w:val="nil"/>
              <w:bottom w:val="single" w:sz="4" w:space="0" w:color="auto"/>
              <w:right w:val="single" w:sz="4" w:space="0" w:color="auto"/>
            </w:tcBorders>
            <w:shd w:val="clear" w:color="auto" w:fill="auto"/>
            <w:vAlign w:val="center"/>
            <w:hideMark/>
          </w:tcPr>
          <w:p w14:paraId="76FC9285"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528DFEB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2C726D68"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3CDBF2F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35824647" w14:textId="77777777" w:rsidTr="00737AB2">
        <w:trPr>
          <w:trHeight w:val="330"/>
        </w:trPr>
        <w:tc>
          <w:tcPr>
            <w:tcW w:w="432" w:type="pct"/>
            <w:vMerge/>
            <w:tcBorders>
              <w:top w:val="nil"/>
              <w:left w:val="single" w:sz="4" w:space="0" w:color="auto"/>
              <w:bottom w:val="single" w:sz="4" w:space="0" w:color="auto"/>
              <w:right w:val="single" w:sz="4" w:space="0" w:color="auto"/>
            </w:tcBorders>
            <w:vAlign w:val="center"/>
            <w:hideMark/>
          </w:tcPr>
          <w:p w14:paraId="1D182A51"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431C141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273C2FD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4B052C3E"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鸟类物种数：社区内鸟类物种数达到10种</w:t>
            </w:r>
          </w:p>
        </w:tc>
        <w:tc>
          <w:tcPr>
            <w:tcW w:w="419" w:type="pct"/>
            <w:tcBorders>
              <w:top w:val="nil"/>
              <w:left w:val="nil"/>
              <w:bottom w:val="single" w:sz="4" w:space="0" w:color="auto"/>
              <w:right w:val="single" w:sz="4" w:space="0" w:color="auto"/>
            </w:tcBorders>
            <w:shd w:val="clear" w:color="auto" w:fill="auto"/>
            <w:vAlign w:val="center"/>
            <w:hideMark/>
          </w:tcPr>
          <w:p w14:paraId="207F232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4873BCA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1B19ECDA"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4CA01CE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687DB9BA" w14:textId="77777777" w:rsidTr="00737AB2">
        <w:trPr>
          <w:trHeight w:val="540"/>
        </w:trPr>
        <w:tc>
          <w:tcPr>
            <w:tcW w:w="432" w:type="pct"/>
            <w:vMerge/>
            <w:tcBorders>
              <w:top w:val="nil"/>
              <w:left w:val="single" w:sz="4" w:space="0" w:color="auto"/>
              <w:bottom w:val="single" w:sz="4" w:space="0" w:color="auto"/>
              <w:right w:val="single" w:sz="4" w:space="0" w:color="auto"/>
            </w:tcBorders>
            <w:vAlign w:val="center"/>
            <w:hideMark/>
          </w:tcPr>
          <w:p w14:paraId="61CEE2A4"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58D9870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5.4</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2C1E863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保证地表水环境质量。社区内地表水环境质量达到批准执行的城市水环境质量标准</w:t>
            </w:r>
          </w:p>
        </w:tc>
        <w:tc>
          <w:tcPr>
            <w:tcW w:w="793" w:type="pct"/>
            <w:vMerge w:val="restart"/>
            <w:tcBorders>
              <w:top w:val="nil"/>
              <w:left w:val="single" w:sz="4" w:space="0" w:color="auto"/>
              <w:bottom w:val="single" w:sz="4" w:space="0" w:color="auto"/>
              <w:right w:val="single" w:sz="4" w:space="0" w:color="auto"/>
            </w:tcBorders>
            <w:shd w:val="clear" w:color="auto" w:fill="auto"/>
            <w:vAlign w:val="center"/>
            <w:hideMark/>
          </w:tcPr>
          <w:p w14:paraId="2A0ECD6F"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区域内地表水质指标达到《地表水环境质量标准》GB 3838-2002</w:t>
            </w:r>
          </w:p>
        </w:tc>
        <w:tc>
          <w:tcPr>
            <w:tcW w:w="683" w:type="pct"/>
            <w:tcBorders>
              <w:top w:val="nil"/>
              <w:left w:val="nil"/>
              <w:bottom w:val="single" w:sz="4" w:space="0" w:color="auto"/>
              <w:right w:val="single" w:sz="4" w:space="0" w:color="auto"/>
            </w:tcBorders>
            <w:shd w:val="clear" w:color="auto" w:fill="auto"/>
            <w:vAlign w:val="center"/>
            <w:hideMark/>
          </w:tcPr>
          <w:p w14:paraId="14EBE7A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Ⅳ</w:t>
            </w:r>
          </w:p>
        </w:tc>
        <w:tc>
          <w:tcPr>
            <w:tcW w:w="419" w:type="pct"/>
            <w:tcBorders>
              <w:top w:val="nil"/>
              <w:left w:val="nil"/>
              <w:bottom w:val="single" w:sz="4" w:space="0" w:color="auto"/>
              <w:right w:val="single" w:sz="4" w:space="0" w:color="auto"/>
            </w:tcBorders>
            <w:shd w:val="clear" w:color="auto" w:fill="auto"/>
            <w:vAlign w:val="center"/>
            <w:hideMark/>
          </w:tcPr>
          <w:p w14:paraId="3923B53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auto" w:fill="auto"/>
            <w:vAlign w:val="center"/>
            <w:hideMark/>
          </w:tcPr>
          <w:p w14:paraId="29EB988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4E4770E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25C3ED9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5BF56DFA" w14:textId="77777777" w:rsidTr="00737AB2">
        <w:trPr>
          <w:trHeight w:val="660"/>
        </w:trPr>
        <w:tc>
          <w:tcPr>
            <w:tcW w:w="432" w:type="pct"/>
            <w:vMerge/>
            <w:tcBorders>
              <w:top w:val="nil"/>
              <w:left w:val="single" w:sz="4" w:space="0" w:color="auto"/>
              <w:bottom w:val="single" w:sz="4" w:space="0" w:color="auto"/>
              <w:right w:val="single" w:sz="4" w:space="0" w:color="auto"/>
            </w:tcBorders>
            <w:vAlign w:val="center"/>
            <w:hideMark/>
          </w:tcPr>
          <w:p w14:paraId="3A4AFD8C"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69EDA9B1"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5D93D03A"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793" w:type="pct"/>
            <w:vMerge/>
            <w:tcBorders>
              <w:top w:val="nil"/>
              <w:left w:val="single" w:sz="4" w:space="0" w:color="auto"/>
              <w:bottom w:val="single" w:sz="4" w:space="0" w:color="auto"/>
              <w:right w:val="single" w:sz="4" w:space="0" w:color="auto"/>
            </w:tcBorders>
            <w:vAlign w:val="center"/>
            <w:hideMark/>
          </w:tcPr>
          <w:p w14:paraId="0AA8349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683" w:type="pct"/>
            <w:tcBorders>
              <w:top w:val="nil"/>
              <w:left w:val="nil"/>
              <w:bottom w:val="single" w:sz="4" w:space="0" w:color="auto"/>
              <w:right w:val="single" w:sz="4" w:space="0" w:color="auto"/>
            </w:tcBorders>
            <w:shd w:val="clear" w:color="auto" w:fill="auto"/>
            <w:vAlign w:val="center"/>
            <w:hideMark/>
          </w:tcPr>
          <w:p w14:paraId="71F721F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Ⅴ类</w:t>
            </w:r>
          </w:p>
        </w:tc>
        <w:tc>
          <w:tcPr>
            <w:tcW w:w="419" w:type="pct"/>
            <w:tcBorders>
              <w:top w:val="nil"/>
              <w:left w:val="nil"/>
              <w:bottom w:val="single" w:sz="4" w:space="0" w:color="auto"/>
              <w:right w:val="single" w:sz="4" w:space="0" w:color="auto"/>
            </w:tcBorders>
            <w:shd w:val="clear" w:color="auto" w:fill="auto"/>
            <w:vAlign w:val="center"/>
            <w:hideMark/>
          </w:tcPr>
          <w:p w14:paraId="30DE935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65C63FB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0186957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23219F9F"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7447EBF7" w14:textId="77777777" w:rsidTr="00737AB2">
        <w:trPr>
          <w:trHeight w:val="855"/>
        </w:trPr>
        <w:tc>
          <w:tcPr>
            <w:tcW w:w="432" w:type="pct"/>
            <w:vMerge/>
            <w:tcBorders>
              <w:top w:val="nil"/>
              <w:left w:val="single" w:sz="4" w:space="0" w:color="auto"/>
              <w:bottom w:val="single" w:sz="4" w:space="0" w:color="auto"/>
              <w:right w:val="single" w:sz="4" w:space="0" w:color="auto"/>
            </w:tcBorders>
            <w:vAlign w:val="center"/>
            <w:hideMark/>
          </w:tcPr>
          <w:p w14:paraId="718905A4"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30AA69C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5.5</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14A9B5D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推行海绵社区建设。合理采用低影响开发技术，推行绿色雨水基础设施，建设海绵社区</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4DB0CC52"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提供社区绿色雨水基础设施设计方案或海绵社区相关规划设计文件，以及社区绿色雨水基础设施实施方案或证明文件</w:t>
            </w:r>
          </w:p>
        </w:tc>
        <w:tc>
          <w:tcPr>
            <w:tcW w:w="419" w:type="pct"/>
            <w:tcBorders>
              <w:top w:val="nil"/>
              <w:left w:val="nil"/>
              <w:bottom w:val="single" w:sz="4" w:space="0" w:color="auto"/>
              <w:right w:val="single" w:sz="4" w:space="0" w:color="auto"/>
            </w:tcBorders>
            <w:shd w:val="clear" w:color="auto" w:fill="auto"/>
            <w:vAlign w:val="center"/>
            <w:hideMark/>
          </w:tcPr>
          <w:p w14:paraId="129B44E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69AE0C1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551353A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617C2FF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5E323E3A" w14:textId="77777777" w:rsidTr="00737AB2">
        <w:trPr>
          <w:trHeight w:val="855"/>
        </w:trPr>
        <w:tc>
          <w:tcPr>
            <w:tcW w:w="432" w:type="pct"/>
            <w:vMerge/>
            <w:tcBorders>
              <w:top w:val="nil"/>
              <w:left w:val="single" w:sz="4" w:space="0" w:color="auto"/>
              <w:bottom w:val="single" w:sz="4" w:space="0" w:color="auto"/>
              <w:right w:val="single" w:sz="4" w:space="0" w:color="auto"/>
            </w:tcBorders>
            <w:vAlign w:val="center"/>
            <w:hideMark/>
          </w:tcPr>
          <w:p w14:paraId="06346483"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230099C8"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69185D3A"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66BD7686"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收集屋顶雨水和地表径流雨水，对收集雨水进行单独人工处理或进</w:t>
            </w:r>
            <w:proofErr w:type="gramStart"/>
            <w:r w:rsidRPr="00737AB2">
              <w:rPr>
                <w:rFonts w:ascii="宋体" w:hAnsi="宋体" w:cs="宋体" w:hint="eastAsia"/>
                <w:color w:val="000000"/>
                <w:kern w:val="0"/>
                <w:sz w:val="22"/>
              </w:rPr>
              <w:t>入住区</w:t>
            </w:r>
            <w:proofErr w:type="gramEnd"/>
            <w:r w:rsidRPr="00737AB2">
              <w:rPr>
                <w:rFonts w:ascii="宋体" w:hAnsi="宋体" w:cs="宋体" w:hint="eastAsia"/>
                <w:color w:val="000000"/>
                <w:kern w:val="0"/>
                <w:sz w:val="22"/>
              </w:rPr>
              <w:t>中水处理系统，使其水质达到相应标准，用于社区杂用水和景观绿化用水</w:t>
            </w:r>
          </w:p>
        </w:tc>
        <w:tc>
          <w:tcPr>
            <w:tcW w:w="419" w:type="pct"/>
            <w:tcBorders>
              <w:top w:val="nil"/>
              <w:left w:val="nil"/>
              <w:bottom w:val="single" w:sz="4" w:space="0" w:color="auto"/>
              <w:right w:val="single" w:sz="4" w:space="0" w:color="auto"/>
            </w:tcBorders>
            <w:shd w:val="clear" w:color="auto" w:fill="auto"/>
            <w:vAlign w:val="center"/>
            <w:hideMark/>
          </w:tcPr>
          <w:p w14:paraId="0D78E79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72588D4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4A31A4D4"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6D8D3B8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4E452A9E" w14:textId="77777777" w:rsidTr="00737AB2">
        <w:trPr>
          <w:trHeight w:val="885"/>
        </w:trPr>
        <w:tc>
          <w:tcPr>
            <w:tcW w:w="432" w:type="pct"/>
            <w:vMerge/>
            <w:tcBorders>
              <w:top w:val="nil"/>
              <w:left w:val="single" w:sz="4" w:space="0" w:color="auto"/>
              <w:bottom w:val="single" w:sz="4" w:space="0" w:color="auto"/>
              <w:right w:val="single" w:sz="4" w:space="0" w:color="auto"/>
            </w:tcBorders>
            <w:vAlign w:val="center"/>
            <w:hideMark/>
          </w:tcPr>
          <w:p w14:paraId="488A254A"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76C56923"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0E5F5B14"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7B35CF60"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绿化场地因地制宜设置下凹式绿地、雨水花园等有调蓄雨水功能的绿地和水体，其面积之和占绿地面积的比例不小于30%</w:t>
            </w:r>
          </w:p>
        </w:tc>
        <w:tc>
          <w:tcPr>
            <w:tcW w:w="419" w:type="pct"/>
            <w:tcBorders>
              <w:top w:val="nil"/>
              <w:left w:val="nil"/>
              <w:bottom w:val="single" w:sz="4" w:space="0" w:color="auto"/>
              <w:right w:val="single" w:sz="4" w:space="0" w:color="auto"/>
            </w:tcBorders>
            <w:shd w:val="clear" w:color="auto" w:fill="auto"/>
            <w:vAlign w:val="center"/>
            <w:hideMark/>
          </w:tcPr>
          <w:p w14:paraId="5A61902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6BE4392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2D71793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75440A1F"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75E92A57" w14:textId="77777777" w:rsidTr="00737AB2">
        <w:trPr>
          <w:trHeight w:val="1298"/>
        </w:trPr>
        <w:tc>
          <w:tcPr>
            <w:tcW w:w="432" w:type="pct"/>
            <w:vMerge/>
            <w:tcBorders>
              <w:top w:val="nil"/>
              <w:left w:val="single" w:sz="4" w:space="0" w:color="auto"/>
              <w:bottom w:val="single" w:sz="4" w:space="0" w:color="auto"/>
              <w:right w:val="single" w:sz="4" w:space="0" w:color="auto"/>
            </w:tcBorders>
            <w:vAlign w:val="center"/>
            <w:hideMark/>
          </w:tcPr>
          <w:p w14:paraId="4E80C3D8"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3CE60425"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5F39CEA4"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47B94331"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在社区内采用多种渗透设施进行渗透净化，公共活动场地、人行道、露天停车场等宜采用透水铺装，可渗透铺装面积不小于30%</w:t>
            </w:r>
          </w:p>
        </w:tc>
        <w:tc>
          <w:tcPr>
            <w:tcW w:w="419" w:type="pct"/>
            <w:tcBorders>
              <w:top w:val="nil"/>
              <w:left w:val="nil"/>
              <w:bottom w:val="single" w:sz="4" w:space="0" w:color="auto"/>
              <w:right w:val="single" w:sz="4" w:space="0" w:color="auto"/>
            </w:tcBorders>
            <w:shd w:val="clear" w:color="auto" w:fill="auto"/>
            <w:vAlign w:val="center"/>
            <w:hideMark/>
          </w:tcPr>
          <w:p w14:paraId="295391E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6123D3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04C3341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4FB1DFF2"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2C63C030" w14:textId="77777777" w:rsidTr="00737AB2">
        <w:trPr>
          <w:trHeight w:val="855"/>
        </w:trPr>
        <w:tc>
          <w:tcPr>
            <w:tcW w:w="432" w:type="pct"/>
            <w:vMerge/>
            <w:tcBorders>
              <w:top w:val="nil"/>
              <w:left w:val="single" w:sz="4" w:space="0" w:color="auto"/>
              <w:bottom w:val="single" w:sz="4" w:space="0" w:color="auto"/>
              <w:right w:val="single" w:sz="4" w:space="0" w:color="auto"/>
            </w:tcBorders>
            <w:vAlign w:val="center"/>
            <w:hideMark/>
          </w:tcPr>
          <w:p w14:paraId="0D0A4D3C"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5F41B39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5.6</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7692811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控制社区热岛效应。构建通风廊道，提供舒适热环境</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6D6E3646"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w:t>
            </w:r>
            <w:proofErr w:type="gramStart"/>
            <w:r w:rsidRPr="00737AB2">
              <w:rPr>
                <w:rFonts w:ascii="宋体" w:hAnsi="宋体" w:cs="宋体" w:hint="eastAsia"/>
                <w:color w:val="000000"/>
                <w:kern w:val="0"/>
                <w:sz w:val="22"/>
              </w:rPr>
              <w:t>内结合</w:t>
            </w:r>
            <w:proofErr w:type="gramEnd"/>
            <w:r w:rsidRPr="00737AB2">
              <w:rPr>
                <w:rFonts w:ascii="宋体" w:hAnsi="宋体" w:cs="宋体" w:hint="eastAsia"/>
                <w:color w:val="000000"/>
                <w:kern w:val="0"/>
                <w:sz w:val="22"/>
              </w:rPr>
              <w:t>道路、绿化、水系及开敞空间，合理布局社区通风廊道，降低热岛效应</w:t>
            </w:r>
          </w:p>
        </w:tc>
        <w:tc>
          <w:tcPr>
            <w:tcW w:w="419" w:type="pct"/>
            <w:tcBorders>
              <w:top w:val="nil"/>
              <w:left w:val="nil"/>
              <w:bottom w:val="single" w:sz="4" w:space="0" w:color="auto"/>
              <w:right w:val="single" w:sz="4" w:space="0" w:color="auto"/>
            </w:tcBorders>
            <w:shd w:val="clear" w:color="auto" w:fill="auto"/>
            <w:vAlign w:val="center"/>
            <w:hideMark/>
          </w:tcPr>
          <w:p w14:paraId="3825183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21DAD8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4797B1F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21935655"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65D19841" w14:textId="77777777" w:rsidTr="00737AB2">
        <w:trPr>
          <w:trHeight w:val="855"/>
        </w:trPr>
        <w:tc>
          <w:tcPr>
            <w:tcW w:w="432" w:type="pct"/>
            <w:vMerge/>
            <w:tcBorders>
              <w:top w:val="nil"/>
              <w:left w:val="single" w:sz="4" w:space="0" w:color="auto"/>
              <w:bottom w:val="single" w:sz="4" w:space="0" w:color="auto"/>
              <w:right w:val="single" w:sz="4" w:space="0" w:color="auto"/>
            </w:tcBorders>
            <w:vAlign w:val="center"/>
            <w:hideMark/>
          </w:tcPr>
          <w:p w14:paraId="09D0CBF4"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2A2D134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1E4A4BA3"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23447DD0"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社区内建筑布局进行自然通风规划设计，</w:t>
            </w:r>
            <w:proofErr w:type="gramStart"/>
            <w:r w:rsidRPr="00737AB2">
              <w:rPr>
                <w:rFonts w:ascii="宋体" w:hAnsi="宋体" w:cs="宋体" w:hint="eastAsia"/>
                <w:color w:val="000000"/>
                <w:kern w:val="0"/>
                <w:sz w:val="22"/>
              </w:rPr>
              <w:t>风环境</w:t>
            </w:r>
            <w:proofErr w:type="gramEnd"/>
            <w:r w:rsidRPr="00737AB2">
              <w:rPr>
                <w:rFonts w:ascii="宋体" w:hAnsi="宋体" w:cs="宋体" w:hint="eastAsia"/>
                <w:color w:val="000000"/>
                <w:kern w:val="0"/>
                <w:sz w:val="22"/>
              </w:rPr>
              <w:t>有利于过渡季、夏季的自然通风及冬季室外行走舒适</w:t>
            </w:r>
          </w:p>
        </w:tc>
        <w:tc>
          <w:tcPr>
            <w:tcW w:w="419" w:type="pct"/>
            <w:tcBorders>
              <w:top w:val="nil"/>
              <w:left w:val="nil"/>
              <w:bottom w:val="single" w:sz="4" w:space="0" w:color="auto"/>
              <w:right w:val="single" w:sz="4" w:space="0" w:color="auto"/>
            </w:tcBorders>
            <w:shd w:val="clear" w:color="auto" w:fill="auto"/>
            <w:vAlign w:val="center"/>
            <w:hideMark/>
          </w:tcPr>
          <w:p w14:paraId="159B66F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5CAA3E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49FE5392"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3CD8D78A"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02EA8847" w14:textId="77777777" w:rsidTr="00737AB2">
        <w:trPr>
          <w:trHeight w:val="1212"/>
        </w:trPr>
        <w:tc>
          <w:tcPr>
            <w:tcW w:w="432" w:type="pct"/>
            <w:vMerge/>
            <w:tcBorders>
              <w:top w:val="nil"/>
              <w:left w:val="single" w:sz="4" w:space="0" w:color="auto"/>
              <w:bottom w:val="single" w:sz="4" w:space="0" w:color="auto"/>
              <w:right w:val="single" w:sz="4" w:space="0" w:color="auto"/>
            </w:tcBorders>
            <w:vAlign w:val="center"/>
            <w:hideMark/>
          </w:tcPr>
          <w:p w14:paraId="34CAEEA0"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6831310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5.7</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4232257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保障</w:t>
            </w:r>
            <w:proofErr w:type="gramStart"/>
            <w:r w:rsidRPr="00737AB2">
              <w:rPr>
                <w:rFonts w:ascii="宋体" w:hAnsi="宋体" w:cs="宋体" w:hint="eastAsia"/>
                <w:color w:val="000000"/>
                <w:kern w:val="0"/>
                <w:sz w:val="22"/>
              </w:rPr>
              <w:t>社区声</w:t>
            </w:r>
            <w:proofErr w:type="gramEnd"/>
            <w:r w:rsidRPr="00737AB2">
              <w:rPr>
                <w:rFonts w:ascii="宋体" w:hAnsi="宋体" w:cs="宋体" w:hint="eastAsia"/>
                <w:color w:val="000000"/>
                <w:kern w:val="0"/>
                <w:sz w:val="22"/>
              </w:rPr>
              <w:t>环境质量。最大程度地消除噪声污染，确保社区内环境噪声达标</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18D43D38"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社区内环境噪声质量达到现行国家标准《声环境质量标准》GB 3096-2008中1类声环境功能区的规定，昼间小于55dB，夜间小于45dB</w:t>
            </w:r>
          </w:p>
        </w:tc>
        <w:tc>
          <w:tcPr>
            <w:tcW w:w="419" w:type="pct"/>
            <w:tcBorders>
              <w:top w:val="nil"/>
              <w:left w:val="nil"/>
              <w:bottom w:val="single" w:sz="4" w:space="0" w:color="auto"/>
              <w:right w:val="single" w:sz="4" w:space="0" w:color="auto"/>
            </w:tcBorders>
            <w:shd w:val="clear" w:color="auto" w:fill="auto"/>
            <w:vAlign w:val="center"/>
            <w:hideMark/>
          </w:tcPr>
          <w:p w14:paraId="213D51E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auto" w:fill="auto"/>
            <w:vAlign w:val="center"/>
            <w:hideMark/>
          </w:tcPr>
          <w:p w14:paraId="487BEC7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552BCAD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0C10FDF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238465FE" w14:textId="77777777" w:rsidTr="00737AB2">
        <w:trPr>
          <w:trHeight w:val="1092"/>
        </w:trPr>
        <w:tc>
          <w:tcPr>
            <w:tcW w:w="432" w:type="pct"/>
            <w:vMerge/>
            <w:tcBorders>
              <w:top w:val="nil"/>
              <w:left w:val="single" w:sz="4" w:space="0" w:color="auto"/>
              <w:bottom w:val="single" w:sz="4" w:space="0" w:color="auto"/>
              <w:right w:val="single" w:sz="4" w:space="0" w:color="auto"/>
            </w:tcBorders>
            <w:vAlign w:val="center"/>
            <w:hideMark/>
          </w:tcPr>
          <w:p w14:paraId="7A7AC615"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530E1FF9"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5FED661A"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3172DAB3"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对社区内部易产生噪声的设备和功能区（如地面停车场等）进行合理布置，采用绿化隔离带、</w:t>
            </w:r>
            <w:r w:rsidRPr="00737AB2">
              <w:rPr>
                <w:rFonts w:ascii="宋体" w:hAnsi="宋体" w:cs="宋体" w:hint="eastAsia"/>
                <w:color w:val="000000"/>
                <w:kern w:val="0"/>
                <w:sz w:val="22"/>
              </w:rPr>
              <w:lastRenderedPageBreak/>
              <w:t>声屏障、隔音玻璃等措施，有效降低内部噪声污染</w:t>
            </w:r>
          </w:p>
        </w:tc>
        <w:tc>
          <w:tcPr>
            <w:tcW w:w="419" w:type="pct"/>
            <w:tcBorders>
              <w:top w:val="nil"/>
              <w:left w:val="nil"/>
              <w:bottom w:val="single" w:sz="4" w:space="0" w:color="auto"/>
              <w:right w:val="single" w:sz="4" w:space="0" w:color="auto"/>
            </w:tcBorders>
            <w:shd w:val="clear" w:color="auto" w:fill="auto"/>
            <w:vAlign w:val="center"/>
            <w:hideMark/>
          </w:tcPr>
          <w:p w14:paraId="1E3CC40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lastRenderedPageBreak/>
              <w:t>1</w:t>
            </w:r>
          </w:p>
        </w:tc>
        <w:tc>
          <w:tcPr>
            <w:tcW w:w="419" w:type="pct"/>
            <w:tcBorders>
              <w:top w:val="nil"/>
              <w:left w:val="nil"/>
              <w:bottom w:val="single" w:sz="4" w:space="0" w:color="auto"/>
              <w:right w:val="single" w:sz="4" w:space="0" w:color="auto"/>
            </w:tcBorders>
            <w:shd w:val="clear" w:color="auto" w:fill="auto"/>
            <w:vAlign w:val="center"/>
            <w:hideMark/>
          </w:tcPr>
          <w:p w14:paraId="1C39AA9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6B535A52"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77BCDD58"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4C36EB20" w14:textId="77777777" w:rsidTr="00737AB2">
        <w:trPr>
          <w:trHeight w:val="972"/>
        </w:trPr>
        <w:tc>
          <w:tcPr>
            <w:tcW w:w="432" w:type="pct"/>
            <w:vMerge/>
            <w:tcBorders>
              <w:top w:val="nil"/>
              <w:left w:val="single" w:sz="4" w:space="0" w:color="auto"/>
              <w:bottom w:val="single" w:sz="4" w:space="0" w:color="auto"/>
              <w:right w:val="single" w:sz="4" w:space="0" w:color="auto"/>
            </w:tcBorders>
            <w:vAlign w:val="center"/>
            <w:hideMark/>
          </w:tcPr>
          <w:p w14:paraId="29497FD7"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03BA284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5.8</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17A82F7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提高大气环境质量。减少社区大气污染物排放，保障空气流通，提高空气质量</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2A30E15C"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社区内空气质量达到现行国家标准《环境空气质量标准》GB 3095-2012中对二类环境空气功能区的质量要求</w:t>
            </w:r>
          </w:p>
        </w:tc>
        <w:tc>
          <w:tcPr>
            <w:tcW w:w="419" w:type="pct"/>
            <w:tcBorders>
              <w:top w:val="nil"/>
              <w:left w:val="nil"/>
              <w:bottom w:val="single" w:sz="4" w:space="0" w:color="auto"/>
              <w:right w:val="single" w:sz="4" w:space="0" w:color="auto"/>
            </w:tcBorders>
            <w:shd w:val="clear" w:color="auto" w:fill="auto"/>
            <w:vAlign w:val="center"/>
            <w:hideMark/>
          </w:tcPr>
          <w:p w14:paraId="3042620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7DB8B8E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329A85D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6D0DF9D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6928A0F9" w14:textId="77777777" w:rsidTr="00737AB2">
        <w:trPr>
          <w:trHeight w:val="900"/>
        </w:trPr>
        <w:tc>
          <w:tcPr>
            <w:tcW w:w="432" w:type="pct"/>
            <w:vMerge/>
            <w:tcBorders>
              <w:top w:val="nil"/>
              <w:left w:val="single" w:sz="4" w:space="0" w:color="auto"/>
              <w:bottom w:val="single" w:sz="4" w:space="0" w:color="auto"/>
              <w:right w:val="single" w:sz="4" w:space="0" w:color="auto"/>
            </w:tcBorders>
            <w:vAlign w:val="center"/>
            <w:hideMark/>
          </w:tcPr>
          <w:p w14:paraId="71E6F6AD"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449232B3"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37AFCD93"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6E6E645B"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社区规划合理，避免不利于空气流通的布局，停车场和机动车道合理布局，降低汽车尾气对住户的污染</w:t>
            </w:r>
          </w:p>
        </w:tc>
        <w:tc>
          <w:tcPr>
            <w:tcW w:w="419" w:type="pct"/>
            <w:tcBorders>
              <w:top w:val="nil"/>
              <w:left w:val="nil"/>
              <w:bottom w:val="single" w:sz="4" w:space="0" w:color="auto"/>
              <w:right w:val="single" w:sz="4" w:space="0" w:color="auto"/>
            </w:tcBorders>
            <w:shd w:val="clear" w:color="auto" w:fill="auto"/>
            <w:vAlign w:val="center"/>
            <w:hideMark/>
          </w:tcPr>
          <w:p w14:paraId="1C0CDCB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347D04D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3B309A0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5292EA05"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6B8BCB75" w14:textId="77777777" w:rsidTr="00737AB2">
        <w:trPr>
          <w:trHeight w:val="570"/>
        </w:trPr>
        <w:tc>
          <w:tcPr>
            <w:tcW w:w="432" w:type="pct"/>
            <w:vMerge/>
            <w:tcBorders>
              <w:top w:val="nil"/>
              <w:left w:val="single" w:sz="4" w:space="0" w:color="auto"/>
              <w:bottom w:val="single" w:sz="4" w:space="0" w:color="auto"/>
              <w:right w:val="single" w:sz="4" w:space="0" w:color="auto"/>
            </w:tcBorders>
            <w:vAlign w:val="center"/>
            <w:hideMark/>
          </w:tcPr>
          <w:p w14:paraId="56B46485"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61812A04"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3335C44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30B7B60E"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施工装修选用环保型材料，社区内公共场所空气没有异味</w:t>
            </w:r>
          </w:p>
        </w:tc>
        <w:tc>
          <w:tcPr>
            <w:tcW w:w="419" w:type="pct"/>
            <w:tcBorders>
              <w:top w:val="nil"/>
              <w:left w:val="nil"/>
              <w:bottom w:val="single" w:sz="4" w:space="0" w:color="auto"/>
              <w:right w:val="single" w:sz="4" w:space="0" w:color="auto"/>
            </w:tcBorders>
            <w:shd w:val="clear" w:color="auto" w:fill="auto"/>
            <w:vAlign w:val="center"/>
            <w:hideMark/>
          </w:tcPr>
          <w:p w14:paraId="12CFFDE5"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504C069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0FA6BFB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0B1624B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4D5CF4BD" w14:textId="77777777" w:rsidTr="00737AB2">
        <w:trPr>
          <w:trHeight w:val="923"/>
        </w:trPr>
        <w:tc>
          <w:tcPr>
            <w:tcW w:w="432"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6D094A2D"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资源循环</w:t>
            </w:r>
          </w:p>
        </w:tc>
        <w:tc>
          <w:tcPr>
            <w:tcW w:w="528"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186F982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6.1</w:t>
            </w:r>
          </w:p>
        </w:tc>
        <w:tc>
          <w:tcPr>
            <w:tcW w:w="889" w:type="pct"/>
            <w:vMerge w:val="restart"/>
            <w:tcBorders>
              <w:top w:val="nil"/>
              <w:left w:val="single" w:sz="4" w:space="0" w:color="auto"/>
              <w:bottom w:val="single" w:sz="4" w:space="0" w:color="auto"/>
              <w:right w:val="single" w:sz="4" w:space="0" w:color="auto"/>
            </w:tcBorders>
            <w:shd w:val="clear" w:color="000000" w:fill="FFFFCC"/>
            <w:vAlign w:val="center"/>
            <w:hideMark/>
          </w:tcPr>
          <w:p w14:paraId="0C2D2175"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社区内以勘察和评估地区可再生能源的分布及可利用量为基础，合理利用多种可再生能源</w:t>
            </w:r>
          </w:p>
        </w:tc>
        <w:tc>
          <w:tcPr>
            <w:tcW w:w="1476" w:type="pct"/>
            <w:gridSpan w:val="2"/>
            <w:tcBorders>
              <w:top w:val="single" w:sz="4" w:space="0" w:color="auto"/>
              <w:left w:val="nil"/>
              <w:bottom w:val="single" w:sz="4" w:space="0" w:color="auto"/>
              <w:right w:val="single" w:sz="4" w:space="0" w:color="auto"/>
            </w:tcBorders>
            <w:shd w:val="clear" w:color="000000" w:fill="FFFFCC"/>
            <w:vAlign w:val="bottom"/>
            <w:hideMark/>
          </w:tcPr>
          <w:p w14:paraId="3A6940B3"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有稳定热水需求的社区建筑，采用太阳能光热技术，屋顶铺设太阳能集热板，与屋顶绿化等一体化设计</w:t>
            </w:r>
          </w:p>
        </w:tc>
        <w:tc>
          <w:tcPr>
            <w:tcW w:w="419" w:type="pct"/>
            <w:tcBorders>
              <w:top w:val="nil"/>
              <w:left w:val="nil"/>
              <w:bottom w:val="single" w:sz="4" w:space="0" w:color="auto"/>
              <w:right w:val="single" w:sz="4" w:space="0" w:color="auto"/>
            </w:tcBorders>
            <w:shd w:val="clear" w:color="000000" w:fill="FFFFCC"/>
            <w:vAlign w:val="center"/>
            <w:hideMark/>
          </w:tcPr>
          <w:p w14:paraId="72E3D98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2A1D33B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3D54B56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75BF779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1AE69AF2" w14:textId="77777777" w:rsidTr="00737AB2">
        <w:trPr>
          <w:trHeight w:val="912"/>
        </w:trPr>
        <w:tc>
          <w:tcPr>
            <w:tcW w:w="432" w:type="pct"/>
            <w:vMerge/>
            <w:tcBorders>
              <w:top w:val="nil"/>
              <w:left w:val="single" w:sz="4" w:space="0" w:color="auto"/>
              <w:bottom w:val="single" w:sz="4" w:space="0" w:color="000000"/>
              <w:right w:val="single" w:sz="4" w:space="0" w:color="auto"/>
            </w:tcBorders>
            <w:vAlign w:val="center"/>
            <w:hideMark/>
          </w:tcPr>
          <w:p w14:paraId="0225D8BF"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00F8C1F3"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62354159"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3018DB6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具备土壤性能条件的社区，住宅和公共建筑根据负荷，部分采用土壤源热泵系统作为空调系统的冷热源</w:t>
            </w:r>
          </w:p>
        </w:tc>
        <w:tc>
          <w:tcPr>
            <w:tcW w:w="419" w:type="pct"/>
            <w:tcBorders>
              <w:top w:val="nil"/>
              <w:left w:val="nil"/>
              <w:bottom w:val="single" w:sz="4" w:space="0" w:color="auto"/>
              <w:right w:val="single" w:sz="4" w:space="0" w:color="auto"/>
            </w:tcBorders>
            <w:shd w:val="clear" w:color="000000" w:fill="FFFFCC"/>
            <w:vAlign w:val="center"/>
            <w:hideMark/>
          </w:tcPr>
          <w:p w14:paraId="44A5D09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000000" w:fill="FFFFCC"/>
            <w:vAlign w:val="center"/>
            <w:hideMark/>
          </w:tcPr>
          <w:p w14:paraId="2840FAD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5FE3E1D8"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445C1035"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6EF97C1D" w14:textId="77777777" w:rsidTr="00737AB2">
        <w:trPr>
          <w:trHeight w:val="660"/>
        </w:trPr>
        <w:tc>
          <w:tcPr>
            <w:tcW w:w="432" w:type="pct"/>
            <w:vMerge/>
            <w:tcBorders>
              <w:top w:val="nil"/>
              <w:left w:val="single" w:sz="4" w:space="0" w:color="auto"/>
              <w:bottom w:val="single" w:sz="4" w:space="0" w:color="000000"/>
              <w:right w:val="single" w:sz="4" w:space="0" w:color="auto"/>
            </w:tcBorders>
            <w:vAlign w:val="center"/>
            <w:hideMark/>
          </w:tcPr>
          <w:p w14:paraId="1BD2F9A7"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07C036F1"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740862A9"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00BDE68F"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公共建筑安装太阳能光电系统，采用光</w:t>
            </w:r>
            <w:proofErr w:type="gramStart"/>
            <w:r w:rsidRPr="00737AB2">
              <w:rPr>
                <w:rFonts w:ascii="宋体" w:hAnsi="宋体" w:cs="宋体" w:hint="eastAsia"/>
                <w:color w:val="000000"/>
                <w:kern w:val="0"/>
                <w:sz w:val="22"/>
              </w:rPr>
              <w:t>伏建筑</w:t>
            </w:r>
            <w:proofErr w:type="gramEnd"/>
            <w:r w:rsidRPr="00737AB2">
              <w:rPr>
                <w:rFonts w:ascii="宋体" w:hAnsi="宋体" w:cs="宋体" w:hint="eastAsia"/>
                <w:color w:val="000000"/>
                <w:kern w:val="0"/>
                <w:sz w:val="22"/>
              </w:rPr>
              <w:t>一体化（BIPV）技术</w:t>
            </w:r>
          </w:p>
        </w:tc>
        <w:tc>
          <w:tcPr>
            <w:tcW w:w="419" w:type="pct"/>
            <w:tcBorders>
              <w:top w:val="nil"/>
              <w:left w:val="nil"/>
              <w:bottom w:val="single" w:sz="4" w:space="0" w:color="auto"/>
              <w:right w:val="single" w:sz="4" w:space="0" w:color="auto"/>
            </w:tcBorders>
            <w:shd w:val="clear" w:color="000000" w:fill="FFFFCC"/>
            <w:vAlign w:val="center"/>
            <w:hideMark/>
          </w:tcPr>
          <w:p w14:paraId="1042A47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000000" w:fill="FFFFCC"/>
            <w:vAlign w:val="center"/>
            <w:hideMark/>
          </w:tcPr>
          <w:p w14:paraId="67AD0D2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74DE69E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13924F50"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1C3DF4FF" w14:textId="77777777" w:rsidTr="00737AB2">
        <w:trPr>
          <w:trHeight w:val="675"/>
        </w:trPr>
        <w:tc>
          <w:tcPr>
            <w:tcW w:w="432" w:type="pct"/>
            <w:vMerge/>
            <w:tcBorders>
              <w:top w:val="nil"/>
              <w:left w:val="single" w:sz="4" w:space="0" w:color="auto"/>
              <w:bottom w:val="single" w:sz="4" w:space="0" w:color="000000"/>
              <w:right w:val="single" w:sz="4" w:space="0" w:color="auto"/>
            </w:tcBorders>
            <w:vAlign w:val="center"/>
            <w:hideMark/>
          </w:tcPr>
          <w:p w14:paraId="741B4C62"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564E428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6.2</w:t>
            </w:r>
          </w:p>
        </w:tc>
        <w:tc>
          <w:tcPr>
            <w:tcW w:w="889" w:type="pct"/>
            <w:vMerge w:val="restart"/>
            <w:tcBorders>
              <w:top w:val="nil"/>
              <w:left w:val="single" w:sz="4" w:space="0" w:color="auto"/>
              <w:bottom w:val="single" w:sz="4" w:space="0" w:color="auto"/>
              <w:right w:val="single" w:sz="4" w:space="0" w:color="auto"/>
            </w:tcBorders>
            <w:shd w:val="clear" w:color="000000" w:fill="FFFFCC"/>
            <w:vAlign w:val="center"/>
            <w:hideMark/>
          </w:tcPr>
          <w:p w14:paraId="135A7F9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社区内进行能源分项计量，引导用户正确消费，并为节能工作提供工作依据</w:t>
            </w:r>
          </w:p>
        </w:tc>
        <w:tc>
          <w:tcPr>
            <w:tcW w:w="1476" w:type="pct"/>
            <w:gridSpan w:val="2"/>
            <w:tcBorders>
              <w:top w:val="single" w:sz="4" w:space="0" w:color="auto"/>
              <w:left w:val="nil"/>
              <w:bottom w:val="single" w:sz="4" w:space="0" w:color="auto"/>
              <w:right w:val="single" w:sz="4" w:space="0" w:color="auto"/>
            </w:tcBorders>
            <w:shd w:val="clear" w:color="000000" w:fill="FFFFCC"/>
            <w:vAlign w:val="bottom"/>
            <w:hideMark/>
          </w:tcPr>
          <w:p w14:paraId="11DEBD0C"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住宅建筑水、电、燃气分户、分类计量与收费</w:t>
            </w:r>
          </w:p>
        </w:tc>
        <w:tc>
          <w:tcPr>
            <w:tcW w:w="419" w:type="pct"/>
            <w:tcBorders>
              <w:top w:val="nil"/>
              <w:left w:val="nil"/>
              <w:bottom w:val="single" w:sz="4" w:space="0" w:color="auto"/>
              <w:right w:val="single" w:sz="4" w:space="0" w:color="auto"/>
            </w:tcBorders>
            <w:shd w:val="clear" w:color="000000" w:fill="FFFFCC"/>
            <w:vAlign w:val="center"/>
            <w:hideMark/>
          </w:tcPr>
          <w:p w14:paraId="2907375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14E4125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0C9FD9B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6B6EFF1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041229B7" w14:textId="77777777" w:rsidTr="00737AB2">
        <w:trPr>
          <w:trHeight w:val="563"/>
        </w:trPr>
        <w:tc>
          <w:tcPr>
            <w:tcW w:w="432" w:type="pct"/>
            <w:vMerge/>
            <w:tcBorders>
              <w:top w:val="nil"/>
              <w:left w:val="single" w:sz="4" w:space="0" w:color="auto"/>
              <w:bottom w:val="single" w:sz="4" w:space="0" w:color="000000"/>
              <w:right w:val="single" w:sz="4" w:space="0" w:color="auto"/>
            </w:tcBorders>
            <w:vAlign w:val="center"/>
            <w:hideMark/>
          </w:tcPr>
          <w:p w14:paraId="0FEC9F0D"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039E62FC"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6E4805E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5C1877F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公共建筑耗电、冷热量等实行计量收费</w:t>
            </w:r>
          </w:p>
        </w:tc>
        <w:tc>
          <w:tcPr>
            <w:tcW w:w="419" w:type="pct"/>
            <w:tcBorders>
              <w:top w:val="nil"/>
              <w:left w:val="nil"/>
              <w:bottom w:val="single" w:sz="4" w:space="0" w:color="auto"/>
              <w:right w:val="single" w:sz="4" w:space="0" w:color="auto"/>
            </w:tcBorders>
            <w:shd w:val="clear" w:color="000000" w:fill="FFFFCC"/>
            <w:vAlign w:val="center"/>
            <w:hideMark/>
          </w:tcPr>
          <w:p w14:paraId="31C020E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32BBA27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6353EFC4"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262211D0"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17D2F05A" w14:textId="77777777" w:rsidTr="00737AB2">
        <w:trPr>
          <w:trHeight w:val="1598"/>
        </w:trPr>
        <w:tc>
          <w:tcPr>
            <w:tcW w:w="432" w:type="pct"/>
            <w:vMerge/>
            <w:tcBorders>
              <w:top w:val="nil"/>
              <w:left w:val="single" w:sz="4" w:space="0" w:color="auto"/>
              <w:bottom w:val="single" w:sz="4" w:space="0" w:color="000000"/>
              <w:right w:val="single" w:sz="4" w:space="0" w:color="auto"/>
            </w:tcBorders>
            <w:vAlign w:val="center"/>
            <w:hideMark/>
          </w:tcPr>
          <w:p w14:paraId="47D6FA17"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1D452F6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6.3</w:t>
            </w:r>
          </w:p>
        </w:tc>
        <w:tc>
          <w:tcPr>
            <w:tcW w:w="889" w:type="pct"/>
            <w:vMerge w:val="restart"/>
            <w:tcBorders>
              <w:top w:val="nil"/>
              <w:left w:val="single" w:sz="4" w:space="0" w:color="auto"/>
              <w:bottom w:val="single" w:sz="4" w:space="0" w:color="auto"/>
              <w:right w:val="single" w:sz="4" w:space="0" w:color="auto"/>
            </w:tcBorders>
            <w:shd w:val="clear" w:color="000000" w:fill="FFFFCC"/>
            <w:vAlign w:val="center"/>
            <w:hideMark/>
          </w:tcPr>
          <w:p w14:paraId="0239581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社区内合理使用非传统水源，减少自来水供水总量</w:t>
            </w: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6CF54EF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社区规划建有市政再生水管网，若周边无再生水管网或再生水管网规划，应根据功能需要配套建设中水利用设施。中水优先用于绿化灌溉、道路浇洒、洗车用</w:t>
            </w:r>
            <w:r w:rsidRPr="00737AB2">
              <w:rPr>
                <w:rFonts w:ascii="宋体" w:hAnsi="宋体" w:cs="宋体" w:hint="eastAsia"/>
                <w:color w:val="000000"/>
                <w:kern w:val="0"/>
                <w:sz w:val="22"/>
              </w:rPr>
              <w:lastRenderedPageBreak/>
              <w:t>水，有市政再生水供应时，采用中水入户冲厕</w:t>
            </w:r>
          </w:p>
        </w:tc>
        <w:tc>
          <w:tcPr>
            <w:tcW w:w="419" w:type="pct"/>
            <w:tcBorders>
              <w:top w:val="nil"/>
              <w:left w:val="nil"/>
              <w:bottom w:val="single" w:sz="4" w:space="0" w:color="auto"/>
              <w:right w:val="single" w:sz="4" w:space="0" w:color="auto"/>
            </w:tcBorders>
            <w:shd w:val="clear" w:color="000000" w:fill="FFFFCC"/>
            <w:noWrap/>
            <w:vAlign w:val="center"/>
            <w:hideMark/>
          </w:tcPr>
          <w:p w14:paraId="19E3F13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lastRenderedPageBreak/>
              <w:t>3</w:t>
            </w:r>
          </w:p>
        </w:tc>
        <w:tc>
          <w:tcPr>
            <w:tcW w:w="419" w:type="pct"/>
            <w:tcBorders>
              <w:top w:val="nil"/>
              <w:left w:val="nil"/>
              <w:bottom w:val="single" w:sz="4" w:space="0" w:color="auto"/>
              <w:right w:val="single" w:sz="4" w:space="0" w:color="auto"/>
            </w:tcBorders>
            <w:shd w:val="clear" w:color="000000" w:fill="FFFFCC"/>
            <w:vAlign w:val="center"/>
            <w:hideMark/>
          </w:tcPr>
          <w:p w14:paraId="58A9A97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7FD715F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7971A4F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6D2CD328" w14:textId="77777777" w:rsidTr="00737AB2">
        <w:trPr>
          <w:trHeight w:val="1005"/>
        </w:trPr>
        <w:tc>
          <w:tcPr>
            <w:tcW w:w="432" w:type="pct"/>
            <w:vMerge/>
            <w:tcBorders>
              <w:top w:val="nil"/>
              <w:left w:val="single" w:sz="4" w:space="0" w:color="auto"/>
              <w:bottom w:val="single" w:sz="4" w:space="0" w:color="000000"/>
              <w:right w:val="single" w:sz="4" w:space="0" w:color="auto"/>
            </w:tcBorders>
            <w:vAlign w:val="center"/>
            <w:hideMark/>
          </w:tcPr>
          <w:p w14:paraId="125B64F8"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573D4161"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6402046C"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center"/>
            <w:hideMark/>
          </w:tcPr>
          <w:p w14:paraId="3C708970"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利用场地空间合理设置绿色雨水基础设施，收集净化的雨水优先用于生态补水、绿化灌溉、景观用水、道路浇洒等</w:t>
            </w:r>
          </w:p>
        </w:tc>
        <w:tc>
          <w:tcPr>
            <w:tcW w:w="419" w:type="pct"/>
            <w:tcBorders>
              <w:top w:val="nil"/>
              <w:left w:val="nil"/>
              <w:bottom w:val="single" w:sz="4" w:space="0" w:color="auto"/>
              <w:right w:val="single" w:sz="4" w:space="0" w:color="auto"/>
            </w:tcBorders>
            <w:shd w:val="clear" w:color="000000" w:fill="FFFFCC"/>
            <w:vAlign w:val="center"/>
            <w:hideMark/>
          </w:tcPr>
          <w:p w14:paraId="44555E3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000000" w:fill="FFFFCC"/>
            <w:vAlign w:val="center"/>
            <w:hideMark/>
          </w:tcPr>
          <w:p w14:paraId="1A0D07C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00EF366F"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7407E01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4459ACD8" w14:textId="77777777" w:rsidTr="00737AB2">
        <w:trPr>
          <w:trHeight w:val="975"/>
        </w:trPr>
        <w:tc>
          <w:tcPr>
            <w:tcW w:w="432" w:type="pct"/>
            <w:vMerge/>
            <w:tcBorders>
              <w:top w:val="nil"/>
              <w:left w:val="single" w:sz="4" w:space="0" w:color="auto"/>
              <w:bottom w:val="single" w:sz="4" w:space="0" w:color="000000"/>
              <w:right w:val="single" w:sz="4" w:space="0" w:color="auto"/>
            </w:tcBorders>
            <w:vAlign w:val="center"/>
            <w:hideMark/>
          </w:tcPr>
          <w:p w14:paraId="6BAD9433"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7D1B4D4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6.4</w:t>
            </w:r>
          </w:p>
        </w:tc>
        <w:tc>
          <w:tcPr>
            <w:tcW w:w="889" w:type="pct"/>
            <w:vMerge w:val="restart"/>
            <w:tcBorders>
              <w:top w:val="nil"/>
              <w:left w:val="single" w:sz="4" w:space="0" w:color="auto"/>
              <w:bottom w:val="single" w:sz="4" w:space="0" w:color="auto"/>
              <w:right w:val="single" w:sz="4" w:space="0" w:color="auto"/>
            </w:tcBorders>
            <w:shd w:val="clear" w:color="000000" w:fill="FFFFCC"/>
            <w:vAlign w:val="center"/>
            <w:hideMark/>
          </w:tcPr>
          <w:p w14:paraId="1B718F0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社区内使用较高用水效率等级的卫生器具与设备</w:t>
            </w:r>
          </w:p>
        </w:tc>
        <w:tc>
          <w:tcPr>
            <w:tcW w:w="1476" w:type="pct"/>
            <w:gridSpan w:val="2"/>
            <w:tcBorders>
              <w:top w:val="single" w:sz="4" w:space="0" w:color="auto"/>
              <w:left w:val="nil"/>
              <w:bottom w:val="single" w:sz="4" w:space="0" w:color="auto"/>
              <w:right w:val="single" w:sz="4" w:space="0" w:color="auto"/>
            </w:tcBorders>
            <w:shd w:val="clear" w:color="000000" w:fill="FFFFCC"/>
            <w:vAlign w:val="bottom"/>
            <w:hideMark/>
          </w:tcPr>
          <w:p w14:paraId="6E8852A9"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社区内公共建筑和产业化装修的住宅建筑节水型器具使用率达到100%，空调设备或系统有采用节水冷却技术</w:t>
            </w:r>
          </w:p>
        </w:tc>
        <w:tc>
          <w:tcPr>
            <w:tcW w:w="419" w:type="pct"/>
            <w:tcBorders>
              <w:top w:val="nil"/>
              <w:left w:val="nil"/>
              <w:bottom w:val="single" w:sz="4" w:space="0" w:color="auto"/>
              <w:right w:val="single" w:sz="4" w:space="0" w:color="auto"/>
            </w:tcBorders>
            <w:shd w:val="clear" w:color="000000" w:fill="FFFFCC"/>
            <w:vAlign w:val="center"/>
            <w:hideMark/>
          </w:tcPr>
          <w:p w14:paraId="7ED7FEC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3F56DD6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0278BE05"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6D1E741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5360B1FA" w14:textId="77777777" w:rsidTr="00737AB2">
        <w:trPr>
          <w:trHeight w:val="330"/>
        </w:trPr>
        <w:tc>
          <w:tcPr>
            <w:tcW w:w="432" w:type="pct"/>
            <w:vMerge/>
            <w:tcBorders>
              <w:top w:val="nil"/>
              <w:left w:val="single" w:sz="4" w:space="0" w:color="auto"/>
              <w:bottom w:val="single" w:sz="4" w:space="0" w:color="000000"/>
              <w:right w:val="single" w:sz="4" w:space="0" w:color="auto"/>
            </w:tcBorders>
            <w:vAlign w:val="center"/>
            <w:hideMark/>
          </w:tcPr>
          <w:p w14:paraId="3F48B44F"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633A0C5F"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44F971E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bottom"/>
            <w:hideMark/>
          </w:tcPr>
          <w:p w14:paraId="30937925"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绿化灌溉采用节水灌溉方式</w:t>
            </w:r>
          </w:p>
        </w:tc>
        <w:tc>
          <w:tcPr>
            <w:tcW w:w="419" w:type="pct"/>
            <w:tcBorders>
              <w:top w:val="nil"/>
              <w:left w:val="nil"/>
              <w:bottom w:val="single" w:sz="4" w:space="0" w:color="auto"/>
              <w:right w:val="single" w:sz="4" w:space="0" w:color="auto"/>
            </w:tcBorders>
            <w:shd w:val="clear" w:color="000000" w:fill="FFFFCC"/>
            <w:vAlign w:val="center"/>
            <w:hideMark/>
          </w:tcPr>
          <w:p w14:paraId="249B4C3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74C6E62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0D77D3F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490B58F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3729C717" w14:textId="77777777" w:rsidTr="00737AB2">
        <w:trPr>
          <w:trHeight w:val="315"/>
        </w:trPr>
        <w:tc>
          <w:tcPr>
            <w:tcW w:w="432" w:type="pct"/>
            <w:vMerge/>
            <w:tcBorders>
              <w:top w:val="nil"/>
              <w:left w:val="single" w:sz="4" w:space="0" w:color="auto"/>
              <w:bottom w:val="single" w:sz="4" w:space="0" w:color="000000"/>
              <w:right w:val="single" w:sz="4" w:space="0" w:color="auto"/>
            </w:tcBorders>
            <w:vAlign w:val="center"/>
            <w:hideMark/>
          </w:tcPr>
          <w:p w14:paraId="3F98B124"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5FD08C7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6.5</w:t>
            </w:r>
          </w:p>
        </w:tc>
        <w:tc>
          <w:tcPr>
            <w:tcW w:w="889" w:type="pct"/>
            <w:vMerge w:val="restart"/>
            <w:tcBorders>
              <w:top w:val="nil"/>
              <w:left w:val="single" w:sz="4" w:space="0" w:color="auto"/>
              <w:bottom w:val="single" w:sz="4" w:space="0" w:color="auto"/>
              <w:right w:val="single" w:sz="4" w:space="0" w:color="auto"/>
            </w:tcBorders>
            <w:shd w:val="clear" w:color="000000" w:fill="FFFFCC"/>
            <w:vAlign w:val="center"/>
            <w:hideMark/>
          </w:tcPr>
          <w:p w14:paraId="5EA8A72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社区生活垃圾分类收集并密闭运输</w:t>
            </w:r>
          </w:p>
        </w:tc>
        <w:tc>
          <w:tcPr>
            <w:tcW w:w="1476" w:type="pct"/>
            <w:gridSpan w:val="2"/>
            <w:tcBorders>
              <w:top w:val="single" w:sz="4" w:space="0" w:color="auto"/>
              <w:left w:val="nil"/>
              <w:bottom w:val="single" w:sz="4" w:space="0" w:color="auto"/>
              <w:right w:val="single" w:sz="4" w:space="0" w:color="auto"/>
            </w:tcBorders>
            <w:shd w:val="clear" w:color="000000" w:fill="FFFFCC"/>
            <w:vAlign w:val="bottom"/>
            <w:hideMark/>
          </w:tcPr>
          <w:p w14:paraId="0720CCA0"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生活垃圾分类收集设施覆盖率达到100%</w:t>
            </w:r>
          </w:p>
        </w:tc>
        <w:tc>
          <w:tcPr>
            <w:tcW w:w="419" w:type="pct"/>
            <w:tcBorders>
              <w:top w:val="nil"/>
              <w:left w:val="nil"/>
              <w:bottom w:val="single" w:sz="4" w:space="0" w:color="auto"/>
              <w:right w:val="single" w:sz="4" w:space="0" w:color="auto"/>
            </w:tcBorders>
            <w:shd w:val="clear" w:color="000000" w:fill="FFFFCC"/>
            <w:vAlign w:val="center"/>
            <w:hideMark/>
          </w:tcPr>
          <w:p w14:paraId="1056C09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000000" w:fill="FFFFCC"/>
            <w:vAlign w:val="center"/>
            <w:hideMark/>
          </w:tcPr>
          <w:p w14:paraId="6B27FA2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77B3E5E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4B87E35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7129DD7F" w14:textId="77777777" w:rsidTr="00737AB2">
        <w:trPr>
          <w:trHeight w:val="938"/>
        </w:trPr>
        <w:tc>
          <w:tcPr>
            <w:tcW w:w="432" w:type="pct"/>
            <w:vMerge/>
            <w:tcBorders>
              <w:top w:val="nil"/>
              <w:left w:val="single" w:sz="4" w:space="0" w:color="auto"/>
              <w:bottom w:val="single" w:sz="4" w:space="0" w:color="000000"/>
              <w:right w:val="single" w:sz="4" w:space="0" w:color="auto"/>
            </w:tcBorders>
            <w:vAlign w:val="center"/>
            <w:hideMark/>
          </w:tcPr>
          <w:p w14:paraId="58C79D90"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7CF47FD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4AD955D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bottom"/>
            <w:hideMark/>
          </w:tcPr>
          <w:p w14:paraId="0EBEE0F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合理布局小型垃圾转运站，建立社区内部生活垃圾密闭化运输体系，防止对环境的二次污染</w:t>
            </w:r>
          </w:p>
        </w:tc>
        <w:tc>
          <w:tcPr>
            <w:tcW w:w="419" w:type="pct"/>
            <w:tcBorders>
              <w:top w:val="nil"/>
              <w:left w:val="nil"/>
              <w:bottom w:val="single" w:sz="4" w:space="0" w:color="auto"/>
              <w:right w:val="single" w:sz="4" w:space="0" w:color="auto"/>
            </w:tcBorders>
            <w:shd w:val="clear" w:color="000000" w:fill="FFFFCC"/>
            <w:vAlign w:val="center"/>
            <w:hideMark/>
          </w:tcPr>
          <w:p w14:paraId="4BC91EA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7DA8B11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4B9FD9AA"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4E6E1BB5"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01D7CC9E" w14:textId="77777777" w:rsidTr="00737AB2">
        <w:trPr>
          <w:trHeight w:val="330"/>
        </w:trPr>
        <w:tc>
          <w:tcPr>
            <w:tcW w:w="432" w:type="pct"/>
            <w:vMerge/>
            <w:tcBorders>
              <w:top w:val="nil"/>
              <w:left w:val="single" w:sz="4" w:space="0" w:color="auto"/>
              <w:bottom w:val="single" w:sz="4" w:space="0" w:color="000000"/>
              <w:right w:val="single" w:sz="4" w:space="0" w:color="auto"/>
            </w:tcBorders>
            <w:vAlign w:val="center"/>
            <w:hideMark/>
          </w:tcPr>
          <w:p w14:paraId="6E233CCE"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58E0ABC9"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3E2B2F1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bottom"/>
            <w:hideMark/>
          </w:tcPr>
          <w:p w14:paraId="19BA3C8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社区内装修垃圾实施分类存放，及时清运</w:t>
            </w:r>
          </w:p>
        </w:tc>
        <w:tc>
          <w:tcPr>
            <w:tcW w:w="419" w:type="pct"/>
            <w:tcBorders>
              <w:top w:val="nil"/>
              <w:left w:val="nil"/>
              <w:bottom w:val="single" w:sz="4" w:space="0" w:color="auto"/>
              <w:right w:val="single" w:sz="4" w:space="0" w:color="auto"/>
            </w:tcBorders>
            <w:shd w:val="clear" w:color="000000" w:fill="FFFFCC"/>
            <w:vAlign w:val="center"/>
            <w:hideMark/>
          </w:tcPr>
          <w:p w14:paraId="18AFEEB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3065B1C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486119B2"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5023A0AC"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27F98C30" w14:textId="77777777" w:rsidTr="00737AB2">
        <w:trPr>
          <w:trHeight w:val="1215"/>
        </w:trPr>
        <w:tc>
          <w:tcPr>
            <w:tcW w:w="432" w:type="pct"/>
            <w:vMerge/>
            <w:tcBorders>
              <w:top w:val="nil"/>
              <w:left w:val="single" w:sz="4" w:space="0" w:color="auto"/>
              <w:bottom w:val="single" w:sz="4" w:space="0" w:color="000000"/>
              <w:right w:val="single" w:sz="4" w:space="0" w:color="auto"/>
            </w:tcBorders>
            <w:vAlign w:val="center"/>
            <w:hideMark/>
          </w:tcPr>
          <w:p w14:paraId="4ED16C9D"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single" w:sz="4" w:space="0" w:color="auto"/>
              <w:right w:val="single" w:sz="4" w:space="0" w:color="auto"/>
            </w:tcBorders>
            <w:shd w:val="clear" w:color="000000" w:fill="FFFFCC"/>
            <w:vAlign w:val="center"/>
            <w:hideMark/>
          </w:tcPr>
          <w:p w14:paraId="5340AB1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6.6</w:t>
            </w:r>
          </w:p>
        </w:tc>
        <w:tc>
          <w:tcPr>
            <w:tcW w:w="889" w:type="pct"/>
            <w:tcBorders>
              <w:top w:val="nil"/>
              <w:left w:val="nil"/>
              <w:bottom w:val="single" w:sz="4" w:space="0" w:color="auto"/>
              <w:right w:val="single" w:sz="4" w:space="0" w:color="auto"/>
            </w:tcBorders>
            <w:shd w:val="clear" w:color="000000" w:fill="FFFFCC"/>
            <w:vAlign w:val="center"/>
            <w:hideMark/>
          </w:tcPr>
          <w:p w14:paraId="72F14D7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社区内的</w:t>
            </w:r>
            <w:proofErr w:type="gramStart"/>
            <w:r w:rsidRPr="00737AB2">
              <w:rPr>
                <w:rFonts w:ascii="宋体" w:hAnsi="宋体" w:cs="宋体" w:hint="eastAsia"/>
                <w:color w:val="000000"/>
                <w:kern w:val="0"/>
                <w:sz w:val="22"/>
              </w:rPr>
              <w:t>厨余垃圾</w:t>
            </w:r>
            <w:proofErr w:type="gramEnd"/>
            <w:r w:rsidRPr="00737AB2">
              <w:rPr>
                <w:rFonts w:ascii="宋体" w:hAnsi="宋体" w:cs="宋体" w:hint="eastAsia"/>
                <w:color w:val="000000"/>
                <w:kern w:val="0"/>
                <w:sz w:val="22"/>
              </w:rPr>
              <w:t>能够实现就地集中收集，</w:t>
            </w:r>
            <w:proofErr w:type="gramStart"/>
            <w:r w:rsidRPr="00737AB2">
              <w:rPr>
                <w:rFonts w:ascii="宋体" w:hAnsi="宋体" w:cs="宋体" w:hint="eastAsia"/>
                <w:color w:val="000000"/>
                <w:kern w:val="0"/>
                <w:sz w:val="22"/>
              </w:rPr>
              <w:t>设有厨余垃圾处</w:t>
            </w:r>
            <w:proofErr w:type="gramEnd"/>
            <w:r w:rsidRPr="00737AB2">
              <w:rPr>
                <w:rFonts w:ascii="宋体" w:hAnsi="宋体" w:cs="宋体" w:hint="eastAsia"/>
                <w:color w:val="000000"/>
                <w:kern w:val="0"/>
                <w:sz w:val="22"/>
              </w:rPr>
              <w:t>理装置（站），并正常运行</w:t>
            </w:r>
          </w:p>
        </w:tc>
        <w:tc>
          <w:tcPr>
            <w:tcW w:w="1476" w:type="pct"/>
            <w:gridSpan w:val="2"/>
            <w:tcBorders>
              <w:top w:val="single" w:sz="4" w:space="0" w:color="auto"/>
              <w:left w:val="nil"/>
              <w:bottom w:val="single" w:sz="4" w:space="0" w:color="auto"/>
              <w:right w:val="single" w:sz="4" w:space="0" w:color="000000"/>
            </w:tcBorders>
            <w:shd w:val="clear" w:color="000000" w:fill="FFFFCC"/>
            <w:vAlign w:val="center"/>
            <w:hideMark/>
          </w:tcPr>
          <w:p w14:paraId="2E36284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w:t>
            </w:r>
          </w:p>
        </w:tc>
        <w:tc>
          <w:tcPr>
            <w:tcW w:w="419" w:type="pct"/>
            <w:tcBorders>
              <w:top w:val="nil"/>
              <w:left w:val="nil"/>
              <w:bottom w:val="single" w:sz="4" w:space="0" w:color="auto"/>
              <w:right w:val="single" w:sz="4" w:space="0" w:color="auto"/>
            </w:tcBorders>
            <w:shd w:val="clear" w:color="000000" w:fill="FFFFCC"/>
            <w:vAlign w:val="center"/>
            <w:hideMark/>
          </w:tcPr>
          <w:p w14:paraId="6EB3CF15"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000000" w:fill="FFFFCC"/>
            <w:vAlign w:val="center"/>
            <w:hideMark/>
          </w:tcPr>
          <w:p w14:paraId="031C47A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000000" w:fill="FFFFCC"/>
            <w:vAlign w:val="center"/>
            <w:hideMark/>
          </w:tcPr>
          <w:p w14:paraId="6EF672D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000000" w:fill="FFFFCC"/>
            <w:vAlign w:val="center"/>
            <w:hideMark/>
          </w:tcPr>
          <w:p w14:paraId="7F9F93E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69D23E34" w14:textId="77777777" w:rsidTr="00737AB2">
        <w:trPr>
          <w:trHeight w:val="720"/>
        </w:trPr>
        <w:tc>
          <w:tcPr>
            <w:tcW w:w="432" w:type="pct"/>
            <w:vMerge w:val="restart"/>
            <w:tcBorders>
              <w:top w:val="nil"/>
              <w:left w:val="single" w:sz="4" w:space="0" w:color="auto"/>
              <w:bottom w:val="single" w:sz="4" w:space="0" w:color="000000"/>
              <w:right w:val="single" w:sz="4" w:space="0" w:color="auto"/>
            </w:tcBorders>
            <w:shd w:val="clear" w:color="auto" w:fill="auto"/>
            <w:vAlign w:val="center"/>
            <w:hideMark/>
          </w:tcPr>
          <w:p w14:paraId="2B83D8BE"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绿色交通</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7C1EB98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7.1</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41C14FD5"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社区周边设置有公共交通站点，方便居民选择公共交通出行</w:t>
            </w: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302070B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社区主要出入口的步行范围内设置公交站点，100%人口至社区外公交站点＜500米</w:t>
            </w:r>
          </w:p>
        </w:tc>
        <w:tc>
          <w:tcPr>
            <w:tcW w:w="419" w:type="pct"/>
            <w:tcBorders>
              <w:top w:val="nil"/>
              <w:left w:val="nil"/>
              <w:bottom w:val="single" w:sz="4" w:space="0" w:color="auto"/>
              <w:right w:val="single" w:sz="4" w:space="0" w:color="auto"/>
            </w:tcBorders>
            <w:shd w:val="clear" w:color="auto" w:fill="auto"/>
            <w:vAlign w:val="center"/>
            <w:hideMark/>
          </w:tcPr>
          <w:p w14:paraId="67915AF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4E5AEBC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1114006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4760DB8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1D6488C5" w14:textId="77777777" w:rsidTr="00737AB2">
        <w:trPr>
          <w:trHeight w:val="923"/>
        </w:trPr>
        <w:tc>
          <w:tcPr>
            <w:tcW w:w="432" w:type="pct"/>
            <w:vMerge/>
            <w:tcBorders>
              <w:top w:val="nil"/>
              <w:left w:val="single" w:sz="4" w:space="0" w:color="auto"/>
              <w:bottom w:val="single" w:sz="4" w:space="0" w:color="000000"/>
              <w:right w:val="single" w:sz="4" w:space="0" w:color="auto"/>
            </w:tcBorders>
            <w:vAlign w:val="center"/>
            <w:hideMark/>
          </w:tcPr>
          <w:p w14:paraId="41A93645"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1393C5B1"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2713DBD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3FE6687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大型社区提供多元化公交服务，增设循环巴士和迷你巴士等公交路线，解决“最后一公里”出行</w:t>
            </w:r>
          </w:p>
        </w:tc>
        <w:tc>
          <w:tcPr>
            <w:tcW w:w="419" w:type="pct"/>
            <w:tcBorders>
              <w:top w:val="nil"/>
              <w:left w:val="nil"/>
              <w:bottom w:val="single" w:sz="4" w:space="0" w:color="auto"/>
              <w:right w:val="single" w:sz="4" w:space="0" w:color="auto"/>
            </w:tcBorders>
            <w:shd w:val="clear" w:color="auto" w:fill="auto"/>
            <w:vAlign w:val="center"/>
            <w:hideMark/>
          </w:tcPr>
          <w:p w14:paraId="0542FD3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75F817B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49B2BC4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68EE69FA"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46DE13B5" w14:textId="77777777" w:rsidTr="00737AB2">
        <w:trPr>
          <w:trHeight w:val="1583"/>
        </w:trPr>
        <w:tc>
          <w:tcPr>
            <w:tcW w:w="432" w:type="pct"/>
            <w:vMerge/>
            <w:tcBorders>
              <w:top w:val="nil"/>
              <w:left w:val="single" w:sz="4" w:space="0" w:color="auto"/>
              <w:bottom w:val="single" w:sz="4" w:space="0" w:color="000000"/>
              <w:right w:val="single" w:sz="4" w:space="0" w:color="auto"/>
            </w:tcBorders>
            <w:vAlign w:val="center"/>
            <w:hideMark/>
          </w:tcPr>
          <w:p w14:paraId="34DFA517"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single" w:sz="4" w:space="0" w:color="auto"/>
              <w:right w:val="single" w:sz="4" w:space="0" w:color="auto"/>
            </w:tcBorders>
            <w:shd w:val="clear" w:color="auto" w:fill="auto"/>
            <w:vAlign w:val="center"/>
            <w:hideMark/>
          </w:tcPr>
          <w:p w14:paraId="02CD2DB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7.2</w:t>
            </w:r>
          </w:p>
        </w:tc>
        <w:tc>
          <w:tcPr>
            <w:tcW w:w="889" w:type="pct"/>
            <w:tcBorders>
              <w:top w:val="nil"/>
              <w:left w:val="nil"/>
              <w:bottom w:val="single" w:sz="4" w:space="0" w:color="auto"/>
              <w:right w:val="single" w:sz="4" w:space="0" w:color="auto"/>
            </w:tcBorders>
            <w:shd w:val="clear" w:color="auto" w:fill="auto"/>
            <w:vAlign w:val="center"/>
            <w:hideMark/>
          </w:tcPr>
          <w:p w14:paraId="145E739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社区交通导向清晰。社区出入口设置清晰、明确的社区地图，提供清晰、明确的交通导向指引</w:t>
            </w:r>
          </w:p>
        </w:tc>
        <w:tc>
          <w:tcPr>
            <w:tcW w:w="1476" w:type="pct"/>
            <w:gridSpan w:val="2"/>
            <w:tcBorders>
              <w:top w:val="single" w:sz="4" w:space="0" w:color="auto"/>
              <w:left w:val="nil"/>
              <w:bottom w:val="single" w:sz="4" w:space="0" w:color="auto"/>
              <w:right w:val="single" w:sz="4" w:space="0" w:color="000000"/>
            </w:tcBorders>
            <w:shd w:val="clear" w:color="auto" w:fill="auto"/>
            <w:vAlign w:val="center"/>
            <w:hideMark/>
          </w:tcPr>
          <w:p w14:paraId="0685E3C5"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w:t>
            </w:r>
          </w:p>
        </w:tc>
        <w:tc>
          <w:tcPr>
            <w:tcW w:w="419" w:type="pct"/>
            <w:tcBorders>
              <w:top w:val="nil"/>
              <w:left w:val="nil"/>
              <w:bottom w:val="single" w:sz="4" w:space="0" w:color="auto"/>
              <w:right w:val="single" w:sz="4" w:space="0" w:color="auto"/>
            </w:tcBorders>
            <w:shd w:val="clear" w:color="auto" w:fill="auto"/>
            <w:vAlign w:val="center"/>
            <w:hideMark/>
          </w:tcPr>
          <w:p w14:paraId="597FBA9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1426B57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2C0B371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454D706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3C780181" w14:textId="77777777" w:rsidTr="00737AB2">
        <w:trPr>
          <w:trHeight w:val="1200"/>
        </w:trPr>
        <w:tc>
          <w:tcPr>
            <w:tcW w:w="432" w:type="pct"/>
            <w:vMerge/>
            <w:tcBorders>
              <w:top w:val="nil"/>
              <w:left w:val="single" w:sz="4" w:space="0" w:color="auto"/>
              <w:bottom w:val="single" w:sz="4" w:space="0" w:color="000000"/>
              <w:right w:val="single" w:sz="4" w:space="0" w:color="auto"/>
            </w:tcBorders>
            <w:vAlign w:val="center"/>
            <w:hideMark/>
          </w:tcPr>
          <w:p w14:paraId="50A6DCFF"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2C78FF1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7.3</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38DF417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社区步行系统安全、连续、环境良好</w:t>
            </w: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67DF54D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社区采取完全人车分流，为机动车设置单向的环形路线，实现单进单出的车辆管理，减少机动车和骑行者、步行者之间的冲突和干扰，并做到人行优先</w:t>
            </w:r>
          </w:p>
        </w:tc>
        <w:tc>
          <w:tcPr>
            <w:tcW w:w="419" w:type="pct"/>
            <w:tcBorders>
              <w:top w:val="nil"/>
              <w:left w:val="nil"/>
              <w:bottom w:val="single" w:sz="4" w:space="0" w:color="auto"/>
              <w:right w:val="single" w:sz="4" w:space="0" w:color="auto"/>
            </w:tcBorders>
            <w:shd w:val="clear" w:color="auto" w:fill="auto"/>
            <w:vAlign w:val="center"/>
            <w:hideMark/>
          </w:tcPr>
          <w:p w14:paraId="7DC6711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40ECF63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5DAE6FD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0804D55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2E7ABED7" w14:textId="77777777" w:rsidTr="00737AB2">
        <w:trPr>
          <w:trHeight w:val="323"/>
        </w:trPr>
        <w:tc>
          <w:tcPr>
            <w:tcW w:w="432" w:type="pct"/>
            <w:vMerge/>
            <w:tcBorders>
              <w:top w:val="nil"/>
              <w:left w:val="single" w:sz="4" w:space="0" w:color="auto"/>
              <w:bottom w:val="single" w:sz="4" w:space="0" w:color="000000"/>
              <w:right w:val="single" w:sz="4" w:space="0" w:color="auto"/>
            </w:tcBorders>
            <w:vAlign w:val="center"/>
            <w:hideMark/>
          </w:tcPr>
          <w:p w14:paraId="62DE887B"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0E26AFA0"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7D2C57E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29351D6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步行道连续，净宽度不小于1.2 m</w:t>
            </w:r>
          </w:p>
        </w:tc>
        <w:tc>
          <w:tcPr>
            <w:tcW w:w="419" w:type="pct"/>
            <w:tcBorders>
              <w:top w:val="nil"/>
              <w:left w:val="nil"/>
              <w:bottom w:val="single" w:sz="4" w:space="0" w:color="auto"/>
              <w:right w:val="single" w:sz="4" w:space="0" w:color="auto"/>
            </w:tcBorders>
            <w:shd w:val="clear" w:color="auto" w:fill="auto"/>
            <w:vAlign w:val="center"/>
            <w:hideMark/>
          </w:tcPr>
          <w:p w14:paraId="75B59BD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53291D8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6B5F1012"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38F873A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1BCF230F" w14:textId="77777777" w:rsidTr="00737AB2">
        <w:trPr>
          <w:trHeight w:val="690"/>
        </w:trPr>
        <w:tc>
          <w:tcPr>
            <w:tcW w:w="432" w:type="pct"/>
            <w:vMerge/>
            <w:tcBorders>
              <w:top w:val="nil"/>
              <w:left w:val="single" w:sz="4" w:space="0" w:color="auto"/>
              <w:bottom w:val="single" w:sz="4" w:space="0" w:color="000000"/>
              <w:right w:val="single" w:sz="4" w:space="0" w:color="auto"/>
            </w:tcBorders>
            <w:vAlign w:val="center"/>
            <w:hideMark/>
          </w:tcPr>
          <w:p w14:paraId="35F815C6"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0968145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78E1050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000000"/>
            </w:tcBorders>
            <w:shd w:val="clear" w:color="auto" w:fill="auto"/>
            <w:vAlign w:val="bottom"/>
            <w:hideMark/>
          </w:tcPr>
          <w:p w14:paraId="6B8BAD72"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步行道旁种植绿带，为出行者提供良好的遮荫避雨空间</w:t>
            </w:r>
          </w:p>
        </w:tc>
        <w:tc>
          <w:tcPr>
            <w:tcW w:w="419" w:type="pct"/>
            <w:tcBorders>
              <w:top w:val="nil"/>
              <w:left w:val="nil"/>
              <w:bottom w:val="single" w:sz="4" w:space="0" w:color="auto"/>
              <w:right w:val="single" w:sz="4" w:space="0" w:color="auto"/>
            </w:tcBorders>
            <w:shd w:val="clear" w:color="auto" w:fill="auto"/>
            <w:vAlign w:val="center"/>
            <w:hideMark/>
          </w:tcPr>
          <w:p w14:paraId="6889D3A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A8923B5"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4A2B8429"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0279F59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797CF400" w14:textId="77777777" w:rsidTr="00737AB2">
        <w:trPr>
          <w:trHeight w:val="983"/>
        </w:trPr>
        <w:tc>
          <w:tcPr>
            <w:tcW w:w="432" w:type="pct"/>
            <w:vMerge/>
            <w:tcBorders>
              <w:top w:val="nil"/>
              <w:left w:val="single" w:sz="4" w:space="0" w:color="auto"/>
              <w:bottom w:val="single" w:sz="4" w:space="0" w:color="000000"/>
              <w:right w:val="single" w:sz="4" w:space="0" w:color="auto"/>
            </w:tcBorders>
            <w:vAlign w:val="center"/>
            <w:hideMark/>
          </w:tcPr>
          <w:p w14:paraId="7480A654"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0679D7FC"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0B5F8E94"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6BED87CC"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步行路线有吸引力，配以公共服务设施、商业网点和绿地，为行人提供更有趣、更多样的出行环境，满足休闲和健身等功能</w:t>
            </w:r>
          </w:p>
        </w:tc>
        <w:tc>
          <w:tcPr>
            <w:tcW w:w="419" w:type="pct"/>
            <w:tcBorders>
              <w:top w:val="nil"/>
              <w:left w:val="nil"/>
              <w:bottom w:val="single" w:sz="4" w:space="0" w:color="auto"/>
              <w:right w:val="single" w:sz="4" w:space="0" w:color="auto"/>
            </w:tcBorders>
            <w:shd w:val="clear" w:color="auto" w:fill="auto"/>
            <w:vAlign w:val="center"/>
            <w:hideMark/>
          </w:tcPr>
          <w:p w14:paraId="127F9A9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445B5C7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7FF71C7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460CF0C1"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28C584E4" w14:textId="77777777" w:rsidTr="00737AB2">
        <w:trPr>
          <w:trHeight w:val="983"/>
        </w:trPr>
        <w:tc>
          <w:tcPr>
            <w:tcW w:w="432" w:type="pct"/>
            <w:vMerge/>
            <w:tcBorders>
              <w:top w:val="nil"/>
              <w:left w:val="single" w:sz="4" w:space="0" w:color="auto"/>
              <w:bottom w:val="single" w:sz="4" w:space="0" w:color="000000"/>
              <w:right w:val="single" w:sz="4" w:space="0" w:color="auto"/>
            </w:tcBorders>
            <w:vAlign w:val="center"/>
            <w:hideMark/>
          </w:tcPr>
          <w:p w14:paraId="49A9A6AD"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0C6C0C4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7.4</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2820841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社区具有完善的机动车停车设施</w:t>
            </w: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02786750"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机动车停车位的设置规模满足需要，采用基本配建指标并作下限控制，但不超过当地规定</w:t>
            </w:r>
          </w:p>
        </w:tc>
        <w:tc>
          <w:tcPr>
            <w:tcW w:w="419" w:type="pct"/>
            <w:tcBorders>
              <w:top w:val="nil"/>
              <w:left w:val="nil"/>
              <w:bottom w:val="single" w:sz="4" w:space="0" w:color="auto"/>
              <w:right w:val="single" w:sz="4" w:space="0" w:color="auto"/>
            </w:tcBorders>
            <w:shd w:val="clear" w:color="auto" w:fill="auto"/>
            <w:vAlign w:val="center"/>
            <w:hideMark/>
          </w:tcPr>
          <w:p w14:paraId="60200C5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4885C90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4F7F2D6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5CFE746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4C7DBC22" w14:textId="77777777" w:rsidTr="00737AB2">
        <w:trPr>
          <w:trHeight w:val="660"/>
        </w:trPr>
        <w:tc>
          <w:tcPr>
            <w:tcW w:w="432" w:type="pct"/>
            <w:vMerge/>
            <w:tcBorders>
              <w:top w:val="nil"/>
              <w:left w:val="single" w:sz="4" w:space="0" w:color="auto"/>
              <w:bottom w:val="single" w:sz="4" w:space="0" w:color="000000"/>
              <w:right w:val="single" w:sz="4" w:space="0" w:color="auto"/>
            </w:tcBorders>
            <w:vAlign w:val="center"/>
            <w:hideMark/>
          </w:tcPr>
          <w:p w14:paraId="3C87EC01"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4575BFA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5146229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0AAABCA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保证行人步行空间，地面停车位的比例占社区停车位总供给的比例不超过10%</w:t>
            </w:r>
          </w:p>
        </w:tc>
        <w:tc>
          <w:tcPr>
            <w:tcW w:w="419" w:type="pct"/>
            <w:tcBorders>
              <w:top w:val="nil"/>
              <w:left w:val="nil"/>
              <w:bottom w:val="single" w:sz="4" w:space="0" w:color="auto"/>
              <w:right w:val="single" w:sz="4" w:space="0" w:color="auto"/>
            </w:tcBorders>
            <w:shd w:val="clear" w:color="auto" w:fill="auto"/>
            <w:vAlign w:val="center"/>
            <w:hideMark/>
          </w:tcPr>
          <w:p w14:paraId="5314F1F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6592941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434966D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71FB306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528343E9" w14:textId="77777777" w:rsidTr="00737AB2">
        <w:trPr>
          <w:trHeight w:val="1005"/>
        </w:trPr>
        <w:tc>
          <w:tcPr>
            <w:tcW w:w="432" w:type="pct"/>
            <w:vMerge/>
            <w:tcBorders>
              <w:top w:val="nil"/>
              <w:left w:val="single" w:sz="4" w:space="0" w:color="auto"/>
              <w:bottom w:val="single" w:sz="4" w:space="0" w:color="000000"/>
              <w:right w:val="single" w:sz="4" w:space="0" w:color="auto"/>
            </w:tcBorders>
            <w:vAlign w:val="center"/>
            <w:hideMark/>
          </w:tcPr>
          <w:p w14:paraId="0EA74BFB"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431A97A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6E39AA3A"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35445FD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新建及改扩的社区建筑物按以下标准建设充电设施或预留建设安装条件：居住类建筑按照配建停车位的100%规划建设</w:t>
            </w:r>
          </w:p>
        </w:tc>
        <w:tc>
          <w:tcPr>
            <w:tcW w:w="419" w:type="pct"/>
            <w:tcBorders>
              <w:top w:val="nil"/>
              <w:left w:val="nil"/>
              <w:bottom w:val="single" w:sz="4" w:space="0" w:color="auto"/>
              <w:right w:val="single" w:sz="4" w:space="0" w:color="auto"/>
            </w:tcBorders>
            <w:shd w:val="clear" w:color="auto" w:fill="auto"/>
            <w:vAlign w:val="center"/>
            <w:hideMark/>
          </w:tcPr>
          <w:p w14:paraId="1B1E979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7FAA9B2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4F0F0773"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0E9DB05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4F3BFCB6" w14:textId="77777777" w:rsidTr="00737AB2">
        <w:trPr>
          <w:trHeight w:val="330"/>
        </w:trPr>
        <w:tc>
          <w:tcPr>
            <w:tcW w:w="432" w:type="pct"/>
            <w:vMerge/>
            <w:tcBorders>
              <w:top w:val="nil"/>
              <w:left w:val="single" w:sz="4" w:space="0" w:color="auto"/>
              <w:bottom w:val="single" w:sz="4" w:space="0" w:color="000000"/>
              <w:right w:val="single" w:sz="4" w:space="0" w:color="auto"/>
            </w:tcBorders>
            <w:vAlign w:val="center"/>
            <w:hideMark/>
          </w:tcPr>
          <w:p w14:paraId="10D12BF9"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43909944"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1D54AD2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548491A1"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采用立体停车设施</w:t>
            </w:r>
          </w:p>
        </w:tc>
        <w:tc>
          <w:tcPr>
            <w:tcW w:w="419" w:type="pct"/>
            <w:tcBorders>
              <w:top w:val="nil"/>
              <w:left w:val="nil"/>
              <w:bottom w:val="single" w:sz="4" w:space="0" w:color="auto"/>
              <w:right w:val="single" w:sz="4" w:space="0" w:color="auto"/>
            </w:tcBorders>
            <w:shd w:val="clear" w:color="auto" w:fill="auto"/>
            <w:vAlign w:val="center"/>
            <w:hideMark/>
          </w:tcPr>
          <w:p w14:paraId="7CD3B81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614AF63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13D4997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5E110D6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2F5C0989" w14:textId="77777777" w:rsidTr="00737AB2">
        <w:trPr>
          <w:trHeight w:val="949"/>
        </w:trPr>
        <w:tc>
          <w:tcPr>
            <w:tcW w:w="432" w:type="pct"/>
            <w:vMerge/>
            <w:tcBorders>
              <w:top w:val="nil"/>
              <w:left w:val="single" w:sz="4" w:space="0" w:color="auto"/>
              <w:bottom w:val="single" w:sz="4" w:space="0" w:color="000000"/>
              <w:right w:val="single" w:sz="4" w:space="0" w:color="auto"/>
            </w:tcBorders>
            <w:vAlign w:val="center"/>
            <w:hideMark/>
          </w:tcPr>
          <w:p w14:paraId="4B5AB938"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728070C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7.5</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4473A7E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社区具有充足的自行车停车设施</w:t>
            </w: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23FC736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社区内自行车停车数量不低于地方设计规范要求，新建、改建居住区存自行车处按每户至少2个自行车位设置</w:t>
            </w:r>
          </w:p>
        </w:tc>
        <w:tc>
          <w:tcPr>
            <w:tcW w:w="419" w:type="pct"/>
            <w:tcBorders>
              <w:top w:val="nil"/>
              <w:left w:val="nil"/>
              <w:bottom w:val="single" w:sz="4" w:space="0" w:color="auto"/>
              <w:right w:val="single" w:sz="4" w:space="0" w:color="auto"/>
            </w:tcBorders>
            <w:shd w:val="clear" w:color="auto" w:fill="auto"/>
            <w:vAlign w:val="center"/>
            <w:hideMark/>
          </w:tcPr>
          <w:p w14:paraId="26E4ECC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375C290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659F5EE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2E0921A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461F105E" w14:textId="77777777" w:rsidTr="00737AB2">
        <w:trPr>
          <w:trHeight w:val="660"/>
        </w:trPr>
        <w:tc>
          <w:tcPr>
            <w:tcW w:w="432" w:type="pct"/>
            <w:vMerge/>
            <w:tcBorders>
              <w:top w:val="nil"/>
              <w:left w:val="single" w:sz="4" w:space="0" w:color="auto"/>
              <w:bottom w:val="single" w:sz="4" w:space="0" w:color="000000"/>
              <w:right w:val="single" w:sz="4" w:space="0" w:color="auto"/>
            </w:tcBorders>
            <w:vAlign w:val="center"/>
            <w:hideMark/>
          </w:tcPr>
          <w:p w14:paraId="78E6A3C2"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43254542"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07DED184"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0A1874F2"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自行车停车设施优先地面设置，采用遮阳措施</w:t>
            </w:r>
          </w:p>
        </w:tc>
        <w:tc>
          <w:tcPr>
            <w:tcW w:w="419" w:type="pct"/>
            <w:tcBorders>
              <w:top w:val="nil"/>
              <w:left w:val="nil"/>
              <w:bottom w:val="single" w:sz="4" w:space="0" w:color="auto"/>
              <w:right w:val="single" w:sz="4" w:space="0" w:color="auto"/>
            </w:tcBorders>
            <w:shd w:val="clear" w:color="auto" w:fill="auto"/>
            <w:vAlign w:val="center"/>
            <w:hideMark/>
          </w:tcPr>
          <w:p w14:paraId="674B200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4818D4F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7BAF879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17F25121"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2AF1F9DD" w14:textId="77777777" w:rsidTr="00737AB2">
        <w:trPr>
          <w:trHeight w:val="330"/>
        </w:trPr>
        <w:tc>
          <w:tcPr>
            <w:tcW w:w="432"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30C3B486"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绿色建筑</w:t>
            </w:r>
          </w:p>
        </w:tc>
        <w:tc>
          <w:tcPr>
            <w:tcW w:w="528"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5EF1525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8.1</w:t>
            </w:r>
          </w:p>
        </w:tc>
        <w:tc>
          <w:tcPr>
            <w:tcW w:w="889" w:type="pct"/>
            <w:vMerge w:val="restart"/>
            <w:tcBorders>
              <w:top w:val="nil"/>
              <w:left w:val="single" w:sz="4" w:space="0" w:color="auto"/>
              <w:bottom w:val="single" w:sz="4" w:space="0" w:color="auto"/>
              <w:right w:val="single" w:sz="4" w:space="0" w:color="auto"/>
            </w:tcBorders>
            <w:shd w:val="clear" w:color="000000" w:fill="FFFFCC"/>
            <w:vAlign w:val="center"/>
            <w:hideMark/>
          </w:tcPr>
          <w:p w14:paraId="6AF1CA3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社区中的建筑按照绿色建筑标准建设</w:t>
            </w:r>
          </w:p>
        </w:tc>
        <w:tc>
          <w:tcPr>
            <w:tcW w:w="793" w:type="pct"/>
            <w:vMerge w:val="restart"/>
            <w:tcBorders>
              <w:top w:val="nil"/>
              <w:left w:val="single" w:sz="4" w:space="0" w:color="auto"/>
              <w:bottom w:val="single" w:sz="4" w:space="0" w:color="auto"/>
              <w:right w:val="single" w:sz="4" w:space="0" w:color="auto"/>
            </w:tcBorders>
            <w:shd w:val="clear" w:color="000000" w:fill="FFFFCC"/>
            <w:vAlign w:val="center"/>
            <w:hideMark/>
          </w:tcPr>
          <w:p w14:paraId="58E8B48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社区中的建筑获得国家绿色建筑星级认证</w:t>
            </w:r>
          </w:p>
        </w:tc>
        <w:tc>
          <w:tcPr>
            <w:tcW w:w="683" w:type="pct"/>
            <w:tcBorders>
              <w:top w:val="nil"/>
              <w:left w:val="nil"/>
              <w:bottom w:val="single" w:sz="4" w:space="0" w:color="auto"/>
              <w:right w:val="single" w:sz="4" w:space="0" w:color="auto"/>
            </w:tcBorders>
            <w:shd w:val="clear" w:color="000000" w:fill="FFFFCC"/>
            <w:vAlign w:val="bottom"/>
            <w:hideMark/>
          </w:tcPr>
          <w:p w14:paraId="72621FD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proofErr w:type="gramStart"/>
            <w:r w:rsidRPr="00737AB2">
              <w:rPr>
                <w:rFonts w:ascii="宋体" w:hAnsi="宋体" w:cs="宋体" w:hint="eastAsia"/>
                <w:color w:val="000000"/>
                <w:kern w:val="0"/>
                <w:sz w:val="22"/>
              </w:rPr>
              <w:t>一</w:t>
            </w:r>
            <w:proofErr w:type="gramEnd"/>
            <w:r w:rsidRPr="00737AB2">
              <w:rPr>
                <w:rFonts w:ascii="宋体" w:hAnsi="宋体" w:cs="宋体" w:hint="eastAsia"/>
                <w:color w:val="000000"/>
                <w:kern w:val="0"/>
                <w:sz w:val="22"/>
              </w:rPr>
              <w:t>星级</w:t>
            </w:r>
          </w:p>
        </w:tc>
        <w:tc>
          <w:tcPr>
            <w:tcW w:w="419" w:type="pct"/>
            <w:tcBorders>
              <w:top w:val="nil"/>
              <w:left w:val="nil"/>
              <w:bottom w:val="single" w:sz="4" w:space="0" w:color="auto"/>
              <w:right w:val="single" w:sz="4" w:space="0" w:color="auto"/>
            </w:tcBorders>
            <w:shd w:val="clear" w:color="000000" w:fill="FFFFCC"/>
            <w:vAlign w:val="center"/>
            <w:hideMark/>
          </w:tcPr>
          <w:p w14:paraId="396D616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343EEA5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6CB1B6D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78C14E9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239F4CFC" w14:textId="77777777" w:rsidTr="00737AB2">
        <w:trPr>
          <w:trHeight w:val="330"/>
        </w:trPr>
        <w:tc>
          <w:tcPr>
            <w:tcW w:w="432" w:type="pct"/>
            <w:vMerge/>
            <w:tcBorders>
              <w:top w:val="nil"/>
              <w:left w:val="single" w:sz="4" w:space="0" w:color="auto"/>
              <w:bottom w:val="single" w:sz="4" w:space="0" w:color="000000"/>
              <w:right w:val="single" w:sz="4" w:space="0" w:color="auto"/>
            </w:tcBorders>
            <w:vAlign w:val="center"/>
            <w:hideMark/>
          </w:tcPr>
          <w:p w14:paraId="200B4D82"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6CA92CDF"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312B4D24"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793" w:type="pct"/>
            <w:vMerge/>
            <w:tcBorders>
              <w:top w:val="nil"/>
              <w:left w:val="single" w:sz="4" w:space="0" w:color="auto"/>
              <w:bottom w:val="single" w:sz="4" w:space="0" w:color="auto"/>
              <w:right w:val="single" w:sz="4" w:space="0" w:color="auto"/>
            </w:tcBorders>
            <w:vAlign w:val="center"/>
            <w:hideMark/>
          </w:tcPr>
          <w:p w14:paraId="653B27B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683" w:type="pct"/>
            <w:tcBorders>
              <w:top w:val="nil"/>
              <w:left w:val="nil"/>
              <w:bottom w:val="single" w:sz="4" w:space="0" w:color="auto"/>
              <w:right w:val="single" w:sz="4" w:space="0" w:color="auto"/>
            </w:tcBorders>
            <w:shd w:val="clear" w:color="000000" w:fill="FFFFCC"/>
            <w:vAlign w:val="bottom"/>
            <w:hideMark/>
          </w:tcPr>
          <w:p w14:paraId="29701FF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二星级</w:t>
            </w:r>
          </w:p>
        </w:tc>
        <w:tc>
          <w:tcPr>
            <w:tcW w:w="419" w:type="pct"/>
            <w:tcBorders>
              <w:top w:val="nil"/>
              <w:left w:val="nil"/>
              <w:bottom w:val="single" w:sz="4" w:space="0" w:color="auto"/>
              <w:right w:val="single" w:sz="4" w:space="0" w:color="auto"/>
            </w:tcBorders>
            <w:shd w:val="clear" w:color="000000" w:fill="FFFFCC"/>
            <w:vAlign w:val="center"/>
            <w:hideMark/>
          </w:tcPr>
          <w:p w14:paraId="4D879B0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000000" w:fill="FFFFCC"/>
            <w:vAlign w:val="center"/>
            <w:hideMark/>
          </w:tcPr>
          <w:p w14:paraId="66523F6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7C56CAD9"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28B0D9C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473B6B61" w14:textId="77777777" w:rsidTr="00737AB2">
        <w:trPr>
          <w:trHeight w:val="270"/>
        </w:trPr>
        <w:tc>
          <w:tcPr>
            <w:tcW w:w="432" w:type="pct"/>
            <w:vMerge/>
            <w:tcBorders>
              <w:top w:val="nil"/>
              <w:left w:val="single" w:sz="4" w:space="0" w:color="auto"/>
              <w:bottom w:val="single" w:sz="4" w:space="0" w:color="000000"/>
              <w:right w:val="single" w:sz="4" w:space="0" w:color="auto"/>
            </w:tcBorders>
            <w:vAlign w:val="center"/>
            <w:hideMark/>
          </w:tcPr>
          <w:p w14:paraId="31592109"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435526A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34B94424"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793" w:type="pct"/>
            <w:vMerge/>
            <w:tcBorders>
              <w:top w:val="nil"/>
              <w:left w:val="single" w:sz="4" w:space="0" w:color="auto"/>
              <w:bottom w:val="single" w:sz="4" w:space="0" w:color="auto"/>
              <w:right w:val="single" w:sz="4" w:space="0" w:color="auto"/>
            </w:tcBorders>
            <w:vAlign w:val="center"/>
            <w:hideMark/>
          </w:tcPr>
          <w:p w14:paraId="4277E0A3"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683" w:type="pct"/>
            <w:tcBorders>
              <w:top w:val="nil"/>
              <w:left w:val="nil"/>
              <w:bottom w:val="single" w:sz="4" w:space="0" w:color="auto"/>
              <w:right w:val="single" w:sz="4" w:space="0" w:color="auto"/>
            </w:tcBorders>
            <w:shd w:val="clear" w:color="000000" w:fill="FFFFCC"/>
            <w:vAlign w:val="bottom"/>
            <w:hideMark/>
          </w:tcPr>
          <w:p w14:paraId="0BF1929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三星级</w:t>
            </w:r>
          </w:p>
        </w:tc>
        <w:tc>
          <w:tcPr>
            <w:tcW w:w="419" w:type="pct"/>
            <w:tcBorders>
              <w:top w:val="nil"/>
              <w:left w:val="nil"/>
              <w:bottom w:val="single" w:sz="4" w:space="0" w:color="auto"/>
              <w:right w:val="single" w:sz="4" w:space="0" w:color="auto"/>
            </w:tcBorders>
            <w:shd w:val="clear" w:color="000000" w:fill="FFFFCC"/>
            <w:vAlign w:val="center"/>
            <w:hideMark/>
          </w:tcPr>
          <w:p w14:paraId="4D91D91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3</w:t>
            </w:r>
          </w:p>
        </w:tc>
        <w:tc>
          <w:tcPr>
            <w:tcW w:w="419" w:type="pct"/>
            <w:tcBorders>
              <w:top w:val="nil"/>
              <w:left w:val="nil"/>
              <w:bottom w:val="single" w:sz="4" w:space="0" w:color="auto"/>
              <w:right w:val="single" w:sz="4" w:space="0" w:color="auto"/>
            </w:tcBorders>
            <w:shd w:val="clear" w:color="000000" w:fill="FFFFCC"/>
            <w:vAlign w:val="center"/>
            <w:hideMark/>
          </w:tcPr>
          <w:p w14:paraId="6F4120B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3090E785"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420EA778"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7D2F8148" w14:textId="77777777" w:rsidTr="00737AB2">
        <w:trPr>
          <w:trHeight w:val="630"/>
        </w:trPr>
        <w:tc>
          <w:tcPr>
            <w:tcW w:w="432" w:type="pct"/>
            <w:vMerge/>
            <w:tcBorders>
              <w:top w:val="nil"/>
              <w:left w:val="single" w:sz="4" w:space="0" w:color="auto"/>
              <w:bottom w:val="single" w:sz="4" w:space="0" w:color="000000"/>
              <w:right w:val="single" w:sz="4" w:space="0" w:color="auto"/>
            </w:tcBorders>
            <w:vAlign w:val="center"/>
            <w:hideMark/>
          </w:tcPr>
          <w:p w14:paraId="4D933856"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single" w:sz="4" w:space="0" w:color="auto"/>
              <w:right w:val="single" w:sz="4" w:space="0" w:color="auto"/>
            </w:tcBorders>
            <w:shd w:val="clear" w:color="000000" w:fill="FFFFCC"/>
            <w:vAlign w:val="center"/>
            <w:hideMark/>
          </w:tcPr>
          <w:p w14:paraId="23E51BC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8.2</w:t>
            </w:r>
          </w:p>
        </w:tc>
        <w:tc>
          <w:tcPr>
            <w:tcW w:w="889" w:type="pct"/>
            <w:tcBorders>
              <w:top w:val="nil"/>
              <w:left w:val="nil"/>
              <w:bottom w:val="single" w:sz="4" w:space="0" w:color="auto"/>
              <w:right w:val="single" w:sz="4" w:space="0" w:color="auto"/>
            </w:tcBorders>
            <w:shd w:val="clear" w:color="000000" w:fill="FFFFCC"/>
            <w:vAlign w:val="center"/>
            <w:hideMark/>
          </w:tcPr>
          <w:p w14:paraId="27666CC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建筑节地</w:t>
            </w:r>
          </w:p>
        </w:tc>
        <w:tc>
          <w:tcPr>
            <w:tcW w:w="1476" w:type="pct"/>
            <w:gridSpan w:val="2"/>
            <w:tcBorders>
              <w:top w:val="single" w:sz="4" w:space="0" w:color="auto"/>
              <w:left w:val="nil"/>
              <w:bottom w:val="single" w:sz="4" w:space="0" w:color="auto"/>
              <w:right w:val="single" w:sz="4" w:space="0" w:color="auto"/>
            </w:tcBorders>
            <w:shd w:val="clear" w:color="000000" w:fill="FFFFCC"/>
            <w:vAlign w:val="bottom"/>
            <w:hideMark/>
          </w:tcPr>
          <w:p w14:paraId="1F686BA2"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居住建筑社区人均用地指标小于</w:t>
            </w:r>
            <w:r w:rsidRPr="00737AB2">
              <w:rPr>
                <w:rFonts w:ascii="Calibri" w:hAnsi="Calibri" w:cs="Calibri"/>
                <w:color w:val="000000"/>
                <w:kern w:val="0"/>
                <w:sz w:val="22"/>
              </w:rPr>
              <w:t>30</w:t>
            </w:r>
            <w:r w:rsidRPr="00737AB2">
              <w:rPr>
                <w:rFonts w:ascii="宋体" w:hAnsi="宋体" w:cs="宋体" w:hint="eastAsia"/>
                <w:color w:val="000000"/>
                <w:kern w:val="0"/>
                <w:sz w:val="22"/>
              </w:rPr>
              <w:t>平方米，公共建筑社区容积率大于</w:t>
            </w:r>
            <w:r w:rsidRPr="00737AB2">
              <w:rPr>
                <w:rFonts w:ascii="Calibri" w:hAnsi="Calibri" w:cs="Calibri"/>
                <w:color w:val="000000"/>
                <w:kern w:val="0"/>
                <w:sz w:val="22"/>
              </w:rPr>
              <w:t>3.5</w:t>
            </w:r>
          </w:p>
        </w:tc>
        <w:tc>
          <w:tcPr>
            <w:tcW w:w="419" w:type="pct"/>
            <w:tcBorders>
              <w:top w:val="nil"/>
              <w:left w:val="nil"/>
              <w:bottom w:val="single" w:sz="4" w:space="0" w:color="auto"/>
              <w:right w:val="single" w:sz="4" w:space="0" w:color="auto"/>
            </w:tcBorders>
            <w:shd w:val="clear" w:color="000000" w:fill="FFFFCC"/>
            <w:vAlign w:val="center"/>
            <w:hideMark/>
          </w:tcPr>
          <w:p w14:paraId="03F5EF0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000000" w:fill="FFFFCC"/>
            <w:vAlign w:val="center"/>
            <w:hideMark/>
          </w:tcPr>
          <w:p w14:paraId="0CE0D7B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000000" w:fill="FFFFCC"/>
            <w:vAlign w:val="center"/>
            <w:hideMark/>
          </w:tcPr>
          <w:p w14:paraId="28BF281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000000" w:fill="FFFFCC"/>
            <w:vAlign w:val="center"/>
            <w:hideMark/>
          </w:tcPr>
          <w:p w14:paraId="4872F50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29A81806" w14:textId="77777777" w:rsidTr="00737AB2">
        <w:trPr>
          <w:trHeight w:val="570"/>
        </w:trPr>
        <w:tc>
          <w:tcPr>
            <w:tcW w:w="432" w:type="pct"/>
            <w:vMerge/>
            <w:tcBorders>
              <w:top w:val="nil"/>
              <w:left w:val="single" w:sz="4" w:space="0" w:color="auto"/>
              <w:bottom w:val="single" w:sz="4" w:space="0" w:color="000000"/>
              <w:right w:val="single" w:sz="4" w:space="0" w:color="auto"/>
            </w:tcBorders>
            <w:vAlign w:val="center"/>
            <w:hideMark/>
          </w:tcPr>
          <w:p w14:paraId="227FA2A4"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single" w:sz="4" w:space="0" w:color="auto"/>
              <w:right w:val="single" w:sz="4" w:space="0" w:color="auto"/>
            </w:tcBorders>
            <w:shd w:val="clear" w:color="000000" w:fill="FFFFCC"/>
            <w:vAlign w:val="center"/>
            <w:hideMark/>
          </w:tcPr>
          <w:p w14:paraId="158F2E3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8.3</w:t>
            </w:r>
          </w:p>
        </w:tc>
        <w:tc>
          <w:tcPr>
            <w:tcW w:w="889" w:type="pct"/>
            <w:tcBorders>
              <w:top w:val="nil"/>
              <w:left w:val="nil"/>
              <w:bottom w:val="single" w:sz="4" w:space="0" w:color="auto"/>
              <w:right w:val="single" w:sz="4" w:space="0" w:color="auto"/>
            </w:tcBorders>
            <w:shd w:val="clear" w:color="000000" w:fill="FFFFCC"/>
            <w:vAlign w:val="center"/>
            <w:hideMark/>
          </w:tcPr>
          <w:p w14:paraId="30EDD0F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建筑节能</w:t>
            </w:r>
          </w:p>
        </w:tc>
        <w:tc>
          <w:tcPr>
            <w:tcW w:w="1476" w:type="pct"/>
            <w:gridSpan w:val="2"/>
            <w:tcBorders>
              <w:top w:val="single" w:sz="4" w:space="0" w:color="auto"/>
              <w:left w:val="nil"/>
              <w:bottom w:val="single" w:sz="4" w:space="0" w:color="auto"/>
              <w:right w:val="single" w:sz="4" w:space="0" w:color="auto"/>
            </w:tcBorders>
            <w:shd w:val="clear" w:color="000000" w:fill="FFFFCC"/>
            <w:vAlign w:val="bottom"/>
            <w:hideMark/>
          </w:tcPr>
          <w:p w14:paraId="2E77A3A0"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建筑围护结构热工性能指标优于国家及地方现行相关建筑节能设计标准规定</w:t>
            </w:r>
          </w:p>
        </w:tc>
        <w:tc>
          <w:tcPr>
            <w:tcW w:w="419" w:type="pct"/>
            <w:tcBorders>
              <w:top w:val="nil"/>
              <w:left w:val="nil"/>
              <w:bottom w:val="single" w:sz="4" w:space="0" w:color="auto"/>
              <w:right w:val="single" w:sz="4" w:space="0" w:color="auto"/>
            </w:tcBorders>
            <w:shd w:val="clear" w:color="000000" w:fill="FFFFCC"/>
            <w:vAlign w:val="center"/>
            <w:hideMark/>
          </w:tcPr>
          <w:p w14:paraId="3ECCF49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000000" w:fill="FFFFCC"/>
            <w:vAlign w:val="center"/>
            <w:hideMark/>
          </w:tcPr>
          <w:p w14:paraId="57CEFE1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000000" w:fill="FFFFCC"/>
            <w:vAlign w:val="center"/>
            <w:hideMark/>
          </w:tcPr>
          <w:p w14:paraId="3AF5D68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000000" w:fill="FFFFCC"/>
            <w:vAlign w:val="center"/>
            <w:hideMark/>
          </w:tcPr>
          <w:p w14:paraId="0432BDC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478596D2" w14:textId="77777777" w:rsidTr="00737AB2">
        <w:trPr>
          <w:trHeight w:val="1170"/>
        </w:trPr>
        <w:tc>
          <w:tcPr>
            <w:tcW w:w="432" w:type="pct"/>
            <w:vMerge/>
            <w:tcBorders>
              <w:top w:val="nil"/>
              <w:left w:val="single" w:sz="4" w:space="0" w:color="auto"/>
              <w:bottom w:val="single" w:sz="4" w:space="0" w:color="000000"/>
              <w:right w:val="single" w:sz="4" w:space="0" w:color="auto"/>
            </w:tcBorders>
            <w:vAlign w:val="center"/>
            <w:hideMark/>
          </w:tcPr>
          <w:p w14:paraId="30AE5AA6"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single" w:sz="4" w:space="0" w:color="auto"/>
              <w:right w:val="single" w:sz="4" w:space="0" w:color="auto"/>
            </w:tcBorders>
            <w:shd w:val="clear" w:color="000000" w:fill="FFFFCC"/>
            <w:vAlign w:val="center"/>
            <w:hideMark/>
          </w:tcPr>
          <w:p w14:paraId="2BD85C2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8.4</w:t>
            </w:r>
          </w:p>
        </w:tc>
        <w:tc>
          <w:tcPr>
            <w:tcW w:w="889" w:type="pct"/>
            <w:tcBorders>
              <w:top w:val="nil"/>
              <w:left w:val="nil"/>
              <w:bottom w:val="single" w:sz="4" w:space="0" w:color="auto"/>
              <w:right w:val="single" w:sz="4" w:space="0" w:color="auto"/>
            </w:tcBorders>
            <w:shd w:val="clear" w:color="000000" w:fill="FFFFCC"/>
            <w:vAlign w:val="center"/>
            <w:hideMark/>
          </w:tcPr>
          <w:p w14:paraId="265554A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建筑节水</w:t>
            </w:r>
          </w:p>
        </w:tc>
        <w:tc>
          <w:tcPr>
            <w:tcW w:w="1476" w:type="pct"/>
            <w:gridSpan w:val="2"/>
            <w:tcBorders>
              <w:top w:val="single" w:sz="4" w:space="0" w:color="auto"/>
              <w:left w:val="nil"/>
              <w:bottom w:val="single" w:sz="4" w:space="0" w:color="auto"/>
              <w:right w:val="single" w:sz="4" w:space="0" w:color="auto"/>
            </w:tcBorders>
            <w:shd w:val="clear" w:color="000000" w:fill="FFFFCC"/>
            <w:vAlign w:val="bottom"/>
            <w:hideMark/>
          </w:tcPr>
          <w:p w14:paraId="329DAC37"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建筑平均日用水量满足现行国家标准《民用建筑节水设计标准》</w:t>
            </w:r>
            <w:r w:rsidRPr="00737AB2">
              <w:rPr>
                <w:rFonts w:ascii="Calibri" w:hAnsi="Calibri" w:cs="Calibri"/>
                <w:color w:val="000000"/>
                <w:kern w:val="0"/>
                <w:sz w:val="22"/>
              </w:rPr>
              <w:t>GB50555</w:t>
            </w:r>
            <w:r w:rsidRPr="00737AB2">
              <w:rPr>
                <w:rFonts w:ascii="宋体" w:hAnsi="宋体" w:cs="宋体" w:hint="eastAsia"/>
                <w:color w:val="000000"/>
                <w:kern w:val="0"/>
                <w:sz w:val="22"/>
              </w:rPr>
              <w:t>中的节水用水定额要求，达到节水用水定额的上限值与下限值的平均值要求</w:t>
            </w:r>
          </w:p>
        </w:tc>
        <w:tc>
          <w:tcPr>
            <w:tcW w:w="419" w:type="pct"/>
            <w:tcBorders>
              <w:top w:val="nil"/>
              <w:left w:val="nil"/>
              <w:bottom w:val="single" w:sz="4" w:space="0" w:color="auto"/>
              <w:right w:val="single" w:sz="4" w:space="0" w:color="auto"/>
            </w:tcBorders>
            <w:shd w:val="clear" w:color="000000" w:fill="FFFFCC"/>
            <w:vAlign w:val="center"/>
            <w:hideMark/>
          </w:tcPr>
          <w:p w14:paraId="65E4852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000000" w:fill="FFFFCC"/>
            <w:vAlign w:val="center"/>
            <w:hideMark/>
          </w:tcPr>
          <w:p w14:paraId="0AD44A5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000000" w:fill="FFFFCC"/>
            <w:vAlign w:val="center"/>
            <w:hideMark/>
          </w:tcPr>
          <w:p w14:paraId="0D33943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000000" w:fill="FFFFCC"/>
            <w:vAlign w:val="center"/>
            <w:hideMark/>
          </w:tcPr>
          <w:p w14:paraId="0EC8C6F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58B9F36F" w14:textId="77777777" w:rsidTr="00737AB2">
        <w:trPr>
          <w:trHeight w:val="330"/>
        </w:trPr>
        <w:tc>
          <w:tcPr>
            <w:tcW w:w="432" w:type="pct"/>
            <w:vMerge/>
            <w:tcBorders>
              <w:top w:val="nil"/>
              <w:left w:val="single" w:sz="4" w:space="0" w:color="auto"/>
              <w:bottom w:val="single" w:sz="4" w:space="0" w:color="000000"/>
              <w:right w:val="single" w:sz="4" w:space="0" w:color="auto"/>
            </w:tcBorders>
            <w:vAlign w:val="center"/>
            <w:hideMark/>
          </w:tcPr>
          <w:p w14:paraId="6AF7CCC1"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3F76F97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8.5</w:t>
            </w:r>
          </w:p>
        </w:tc>
        <w:tc>
          <w:tcPr>
            <w:tcW w:w="889" w:type="pct"/>
            <w:vMerge w:val="restart"/>
            <w:tcBorders>
              <w:top w:val="nil"/>
              <w:left w:val="single" w:sz="4" w:space="0" w:color="auto"/>
              <w:bottom w:val="single" w:sz="4" w:space="0" w:color="auto"/>
              <w:right w:val="single" w:sz="4" w:space="0" w:color="auto"/>
            </w:tcBorders>
            <w:shd w:val="clear" w:color="000000" w:fill="FFFFCC"/>
            <w:vAlign w:val="center"/>
            <w:hideMark/>
          </w:tcPr>
          <w:p w14:paraId="524DB6C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建筑节材</w:t>
            </w:r>
          </w:p>
        </w:tc>
        <w:tc>
          <w:tcPr>
            <w:tcW w:w="1476" w:type="pct"/>
            <w:gridSpan w:val="2"/>
            <w:tcBorders>
              <w:top w:val="single" w:sz="4" w:space="0" w:color="auto"/>
              <w:left w:val="nil"/>
              <w:bottom w:val="single" w:sz="4" w:space="0" w:color="auto"/>
              <w:right w:val="single" w:sz="4" w:space="0" w:color="auto"/>
            </w:tcBorders>
            <w:shd w:val="clear" w:color="000000" w:fill="FFFFCC"/>
            <w:vAlign w:val="bottom"/>
            <w:hideMark/>
          </w:tcPr>
          <w:p w14:paraId="0A69DAFF"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建筑采用本地生产的建筑材料</w:t>
            </w:r>
          </w:p>
        </w:tc>
        <w:tc>
          <w:tcPr>
            <w:tcW w:w="419" w:type="pct"/>
            <w:tcBorders>
              <w:top w:val="nil"/>
              <w:left w:val="nil"/>
              <w:bottom w:val="single" w:sz="4" w:space="0" w:color="auto"/>
              <w:right w:val="single" w:sz="4" w:space="0" w:color="auto"/>
            </w:tcBorders>
            <w:shd w:val="clear" w:color="000000" w:fill="FFFFCC"/>
            <w:vAlign w:val="center"/>
            <w:hideMark/>
          </w:tcPr>
          <w:p w14:paraId="1A030EE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02606CF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48413BE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09A34C7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59F21B73" w14:textId="77777777" w:rsidTr="00737AB2">
        <w:trPr>
          <w:trHeight w:val="270"/>
        </w:trPr>
        <w:tc>
          <w:tcPr>
            <w:tcW w:w="432" w:type="pct"/>
            <w:vMerge/>
            <w:tcBorders>
              <w:top w:val="nil"/>
              <w:left w:val="single" w:sz="4" w:space="0" w:color="auto"/>
              <w:bottom w:val="single" w:sz="4" w:space="0" w:color="000000"/>
              <w:right w:val="single" w:sz="4" w:space="0" w:color="auto"/>
            </w:tcBorders>
            <w:vAlign w:val="center"/>
            <w:hideMark/>
          </w:tcPr>
          <w:p w14:paraId="70BCC09D"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14363854"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7F1BBA90"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000000" w:fill="FFFFCC"/>
            <w:vAlign w:val="bottom"/>
            <w:hideMark/>
          </w:tcPr>
          <w:p w14:paraId="65D13486"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建筑采用了可再利用材料或可再循环材料</w:t>
            </w:r>
          </w:p>
        </w:tc>
        <w:tc>
          <w:tcPr>
            <w:tcW w:w="419" w:type="pct"/>
            <w:tcBorders>
              <w:top w:val="nil"/>
              <w:left w:val="nil"/>
              <w:bottom w:val="single" w:sz="4" w:space="0" w:color="auto"/>
              <w:right w:val="single" w:sz="4" w:space="0" w:color="auto"/>
            </w:tcBorders>
            <w:shd w:val="clear" w:color="000000" w:fill="FFFFCC"/>
            <w:vAlign w:val="center"/>
            <w:hideMark/>
          </w:tcPr>
          <w:p w14:paraId="25D8EF9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0E6C57D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6D7185E0"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3729CEDF"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4D0344ED" w14:textId="77777777" w:rsidTr="00737AB2">
        <w:trPr>
          <w:trHeight w:val="1223"/>
        </w:trPr>
        <w:tc>
          <w:tcPr>
            <w:tcW w:w="432" w:type="pct"/>
            <w:vMerge w:val="restart"/>
            <w:tcBorders>
              <w:top w:val="nil"/>
              <w:left w:val="single" w:sz="4" w:space="0" w:color="auto"/>
              <w:bottom w:val="single" w:sz="4" w:space="0" w:color="000000"/>
              <w:right w:val="single" w:sz="4" w:space="0" w:color="auto"/>
            </w:tcBorders>
            <w:shd w:val="clear" w:color="auto" w:fill="auto"/>
            <w:vAlign w:val="center"/>
            <w:hideMark/>
          </w:tcPr>
          <w:p w14:paraId="3813EDD5"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绿色人文</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6F97E32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9.1</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30F2937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社区无障碍设计达标</w:t>
            </w: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6510ABA0"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社区建筑出入口、电梯、卫生间等和公共活动中心均采用无障碍设计，且满足现行国家标准《无障碍设计规范》GB50763要求</w:t>
            </w:r>
          </w:p>
        </w:tc>
        <w:tc>
          <w:tcPr>
            <w:tcW w:w="419" w:type="pct"/>
            <w:tcBorders>
              <w:top w:val="nil"/>
              <w:left w:val="nil"/>
              <w:bottom w:val="single" w:sz="4" w:space="0" w:color="auto"/>
              <w:right w:val="single" w:sz="4" w:space="0" w:color="auto"/>
            </w:tcBorders>
            <w:shd w:val="clear" w:color="auto" w:fill="auto"/>
            <w:vAlign w:val="center"/>
            <w:hideMark/>
          </w:tcPr>
          <w:p w14:paraId="4B95001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2E30C8C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20930EA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44A6C5E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34152D29" w14:textId="77777777" w:rsidTr="00737AB2">
        <w:trPr>
          <w:trHeight w:val="649"/>
        </w:trPr>
        <w:tc>
          <w:tcPr>
            <w:tcW w:w="432" w:type="pct"/>
            <w:vMerge/>
            <w:tcBorders>
              <w:top w:val="nil"/>
              <w:left w:val="single" w:sz="4" w:space="0" w:color="auto"/>
              <w:bottom w:val="single" w:sz="4" w:space="0" w:color="000000"/>
              <w:right w:val="single" w:sz="4" w:space="0" w:color="auto"/>
            </w:tcBorders>
            <w:vAlign w:val="center"/>
            <w:hideMark/>
          </w:tcPr>
          <w:p w14:paraId="1178044E"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4449CD6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5E598A3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2C181063"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社区道路无障碍设计达标率100%，且与建筑物无障碍连通</w:t>
            </w:r>
          </w:p>
        </w:tc>
        <w:tc>
          <w:tcPr>
            <w:tcW w:w="419" w:type="pct"/>
            <w:tcBorders>
              <w:top w:val="nil"/>
              <w:left w:val="nil"/>
              <w:bottom w:val="single" w:sz="4" w:space="0" w:color="auto"/>
              <w:right w:val="single" w:sz="4" w:space="0" w:color="auto"/>
            </w:tcBorders>
            <w:shd w:val="clear" w:color="auto" w:fill="auto"/>
            <w:vAlign w:val="center"/>
            <w:hideMark/>
          </w:tcPr>
          <w:p w14:paraId="3239667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5F1D3F3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000F2C93"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612DC61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5F9C3D76" w14:textId="77777777" w:rsidTr="00737AB2">
        <w:trPr>
          <w:trHeight w:val="270"/>
        </w:trPr>
        <w:tc>
          <w:tcPr>
            <w:tcW w:w="432" w:type="pct"/>
            <w:vMerge/>
            <w:tcBorders>
              <w:top w:val="nil"/>
              <w:left w:val="single" w:sz="4" w:space="0" w:color="auto"/>
              <w:bottom w:val="single" w:sz="4" w:space="0" w:color="000000"/>
              <w:right w:val="single" w:sz="4" w:space="0" w:color="auto"/>
            </w:tcBorders>
            <w:vAlign w:val="center"/>
            <w:hideMark/>
          </w:tcPr>
          <w:p w14:paraId="2B7245FA"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59F3579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9.2</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67753365"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社区公众参与的组织形式和参与机构多样化</w:t>
            </w: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16419238"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公众参与组织形式多于四种</w:t>
            </w:r>
          </w:p>
        </w:tc>
        <w:tc>
          <w:tcPr>
            <w:tcW w:w="419" w:type="pct"/>
            <w:tcBorders>
              <w:top w:val="nil"/>
              <w:left w:val="nil"/>
              <w:bottom w:val="single" w:sz="4" w:space="0" w:color="auto"/>
              <w:right w:val="single" w:sz="4" w:space="0" w:color="auto"/>
            </w:tcBorders>
            <w:shd w:val="clear" w:color="auto" w:fill="auto"/>
            <w:vAlign w:val="center"/>
            <w:hideMark/>
          </w:tcPr>
          <w:p w14:paraId="6C9330B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65C14D3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43BC751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2FE42CE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4081DAB0" w14:textId="77777777" w:rsidTr="00737AB2">
        <w:trPr>
          <w:trHeight w:val="570"/>
        </w:trPr>
        <w:tc>
          <w:tcPr>
            <w:tcW w:w="432" w:type="pct"/>
            <w:vMerge/>
            <w:tcBorders>
              <w:top w:val="nil"/>
              <w:left w:val="single" w:sz="4" w:space="0" w:color="auto"/>
              <w:bottom w:val="single" w:sz="4" w:space="0" w:color="000000"/>
              <w:right w:val="single" w:sz="4" w:space="0" w:color="auto"/>
            </w:tcBorders>
            <w:vAlign w:val="center"/>
            <w:hideMark/>
          </w:tcPr>
          <w:p w14:paraId="07EECF02"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6F882BDB"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5607703C"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76699B6A"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公众参与的参与机构包括政府机构、非政府／</w:t>
            </w:r>
            <w:r w:rsidRPr="00737AB2">
              <w:rPr>
                <w:rFonts w:ascii="宋体" w:hAnsi="宋体" w:cs="宋体" w:hint="eastAsia"/>
                <w:color w:val="000000"/>
                <w:kern w:val="0"/>
                <w:sz w:val="22"/>
              </w:rPr>
              <w:lastRenderedPageBreak/>
              <w:t>谋利机构、专业机构和群众</w:t>
            </w:r>
          </w:p>
        </w:tc>
        <w:tc>
          <w:tcPr>
            <w:tcW w:w="419" w:type="pct"/>
            <w:tcBorders>
              <w:top w:val="nil"/>
              <w:left w:val="nil"/>
              <w:bottom w:val="single" w:sz="4" w:space="0" w:color="auto"/>
              <w:right w:val="single" w:sz="4" w:space="0" w:color="auto"/>
            </w:tcBorders>
            <w:shd w:val="clear" w:color="auto" w:fill="auto"/>
            <w:vAlign w:val="center"/>
            <w:hideMark/>
          </w:tcPr>
          <w:p w14:paraId="4C7C27B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lastRenderedPageBreak/>
              <w:t>1</w:t>
            </w:r>
          </w:p>
        </w:tc>
        <w:tc>
          <w:tcPr>
            <w:tcW w:w="419" w:type="pct"/>
            <w:tcBorders>
              <w:top w:val="nil"/>
              <w:left w:val="nil"/>
              <w:bottom w:val="single" w:sz="4" w:space="0" w:color="auto"/>
              <w:right w:val="single" w:sz="4" w:space="0" w:color="auto"/>
            </w:tcBorders>
            <w:shd w:val="clear" w:color="auto" w:fill="auto"/>
            <w:vAlign w:val="center"/>
            <w:hideMark/>
          </w:tcPr>
          <w:p w14:paraId="520D962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6E45AF0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02598CF9"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1C2F6F0F" w14:textId="77777777" w:rsidTr="00737AB2">
        <w:trPr>
          <w:trHeight w:val="270"/>
        </w:trPr>
        <w:tc>
          <w:tcPr>
            <w:tcW w:w="432" w:type="pct"/>
            <w:vMerge/>
            <w:tcBorders>
              <w:top w:val="nil"/>
              <w:left w:val="single" w:sz="4" w:space="0" w:color="auto"/>
              <w:bottom w:val="single" w:sz="4" w:space="0" w:color="000000"/>
              <w:right w:val="single" w:sz="4" w:space="0" w:color="auto"/>
            </w:tcBorders>
            <w:vAlign w:val="center"/>
            <w:hideMark/>
          </w:tcPr>
          <w:p w14:paraId="50AF6E8D"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7530F52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9.3</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723ADD5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社区开展绿色教育和绿色实践，倡导绿色生活方式</w:t>
            </w: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574B627F"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制定社区绿色生活与消费导则</w:t>
            </w:r>
          </w:p>
        </w:tc>
        <w:tc>
          <w:tcPr>
            <w:tcW w:w="419" w:type="pct"/>
            <w:tcBorders>
              <w:top w:val="nil"/>
              <w:left w:val="nil"/>
              <w:bottom w:val="single" w:sz="4" w:space="0" w:color="auto"/>
              <w:right w:val="single" w:sz="4" w:space="0" w:color="auto"/>
            </w:tcBorders>
            <w:shd w:val="clear" w:color="auto" w:fill="auto"/>
            <w:vAlign w:val="center"/>
            <w:hideMark/>
          </w:tcPr>
          <w:p w14:paraId="020E8C0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31E1BD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351DFAC5"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5A2A19D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7C6FAEA9" w14:textId="77777777" w:rsidTr="00737AB2">
        <w:trPr>
          <w:trHeight w:val="270"/>
        </w:trPr>
        <w:tc>
          <w:tcPr>
            <w:tcW w:w="432" w:type="pct"/>
            <w:vMerge/>
            <w:tcBorders>
              <w:top w:val="nil"/>
              <w:left w:val="single" w:sz="4" w:space="0" w:color="auto"/>
              <w:bottom w:val="single" w:sz="4" w:space="0" w:color="000000"/>
              <w:right w:val="single" w:sz="4" w:space="0" w:color="auto"/>
            </w:tcBorders>
            <w:vAlign w:val="center"/>
            <w:hideMark/>
          </w:tcPr>
          <w:p w14:paraId="62C44D44"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1FD51A19"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4D56F63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1C31751A"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针对青少年开展绿色教育和绿色实践</w:t>
            </w:r>
          </w:p>
        </w:tc>
        <w:tc>
          <w:tcPr>
            <w:tcW w:w="419" w:type="pct"/>
            <w:tcBorders>
              <w:top w:val="nil"/>
              <w:left w:val="nil"/>
              <w:bottom w:val="single" w:sz="4" w:space="0" w:color="auto"/>
              <w:right w:val="single" w:sz="4" w:space="0" w:color="auto"/>
            </w:tcBorders>
            <w:shd w:val="clear" w:color="auto" w:fill="auto"/>
            <w:vAlign w:val="center"/>
            <w:hideMark/>
          </w:tcPr>
          <w:p w14:paraId="3066325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5BA65A3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17E0FB88"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2D1E3F50"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1D707329" w14:textId="77777777" w:rsidTr="00737AB2">
        <w:trPr>
          <w:trHeight w:val="570"/>
        </w:trPr>
        <w:tc>
          <w:tcPr>
            <w:tcW w:w="432" w:type="pct"/>
            <w:vMerge/>
            <w:tcBorders>
              <w:top w:val="nil"/>
              <w:left w:val="single" w:sz="4" w:space="0" w:color="auto"/>
              <w:bottom w:val="single" w:sz="4" w:space="0" w:color="000000"/>
              <w:right w:val="single" w:sz="4" w:space="0" w:color="auto"/>
            </w:tcBorders>
            <w:vAlign w:val="center"/>
            <w:hideMark/>
          </w:tcPr>
          <w:p w14:paraId="638C77FD"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1EE402A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2C4656B3"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2178D3F1"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定期举办绿色行动日活动，构建绿色生活体验场所和展示平台</w:t>
            </w:r>
          </w:p>
        </w:tc>
        <w:tc>
          <w:tcPr>
            <w:tcW w:w="419" w:type="pct"/>
            <w:tcBorders>
              <w:top w:val="nil"/>
              <w:left w:val="nil"/>
              <w:bottom w:val="single" w:sz="4" w:space="0" w:color="auto"/>
              <w:right w:val="single" w:sz="4" w:space="0" w:color="auto"/>
            </w:tcBorders>
            <w:shd w:val="clear" w:color="auto" w:fill="auto"/>
            <w:vAlign w:val="center"/>
            <w:hideMark/>
          </w:tcPr>
          <w:p w14:paraId="33677FE5"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24A248A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00C963E5"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4909F107"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42458D53" w14:textId="77777777" w:rsidTr="00737AB2">
        <w:trPr>
          <w:trHeight w:val="600"/>
        </w:trPr>
        <w:tc>
          <w:tcPr>
            <w:tcW w:w="432" w:type="pct"/>
            <w:vMerge/>
            <w:tcBorders>
              <w:top w:val="nil"/>
              <w:left w:val="single" w:sz="4" w:space="0" w:color="auto"/>
              <w:bottom w:val="single" w:sz="4" w:space="0" w:color="000000"/>
              <w:right w:val="single" w:sz="4" w:space="0" w:color="auto"/>
            </w:tcBorders>
            <w:vAlign w:val="center"/>
            <w:hideMark/>
          </w:tcPr>
          <w:p w14:paraId="7DFEB41F"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2F510D5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537A6540"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198B387F"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设置生态展示牌，发布包括温度、湿度、风力、</w:t>
            </w:r>
            <w:r w:rsidRPr="00737AB2">
              <w:rPr>
                <w:rFonts w:ascii="Calibri" w:hAnsi="Calibri" w:cs="Calibri"/>
                <w:color w:val="000000"/>
                <w:kern w:val="0"/>
                <w:sz w:val="22"/>
              </w:rPr>
              <w:t>PM2.5</w:t>
            </w:r>
            <w:r w:rsidRPr="00737AB2">
              <w:rPr>
                <w:rFonts w:ascii="宋体" w:hAnsi="宋体" w:cs="宋体" w:hint="eastAsia"/>
                <w:color w:val="000000"/>
                <w:kern w:val="0"/>
                <w:sz w:val="22"/>
              </w:rPr>
              <w:t>浓度等在内的指标数据</w:t>
            </w:r>
          </w:p>
        </w:tc>
        <w:tc>
          <w:tcPr>
            <w:tcW w:w="419" w:type="pct"/>
            <w:tcBorders>
              <w:top w:val="nil"/>
              <w:left w:val="nil"/>
              <w:bottom w:val="single" w:sz="4" w:space="0" w:color="auto"/>
              <w:right w:val="single" w:sz="4" w:space="0" w:color="auto"/>
            </w:tcBorders>
            <w:shd w:val="clear" w:color="auto" w:fill="auto"/>
            <w:vAlign w:val="center"/>
            <w:hideMark/>
          </w:tcPr>
          <w:p w14:paraId="0D03175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4AA3F93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0F9D8AA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29DDEFC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03747E09" w14:textId="77777777" w:rsidTr="00737AB2">
        <w:trPr>
          <w:trHeight w:val="1215"/>
        </w:trPr>
        <w:tc>
          <w:tcPr>
            <w:tcW w:w="432" w:type="pct"/>
            <w:vMerge/>
            <w:tcBorders>
              <w:top w:val="nil"/>
              <w:left w:val="single" w:sz="4" w:space="0" w:color="auto"/>
              <w:bottom w:val="single" w:sz="4" w:space="0" w:color="000000"/>
              <w:right w:val="single" w:sz="4" w:space="0" w:color="auto"/>
            </w:tcBorders>
            <w:vAlign w:val="center"/>
            <w:hideMark/>
          </w:tcPr>
          <w:p w14:paraId="014B7AAE"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single" w:sz="4" w:space="0" w:color="auto"/>
              <w:right w:val="single" w:sz="4" w:space="0" w:color="auto"/>
            </w:tcBorders>
            <w:shd w:val="clear" w:color="auto" w:fill="auto"/>
            <w:vAlign w:val="center"/>
            <w:hideMark/>
          </w:tcPr>
          <w:p w14:paraId="47AE0A4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9.4</w:t>
            </w:r>
          </w:p>
        </w:tc>
        <w:tc>
          <w:tcPr>
            <w:tcW w:w="889" w:type="pct"/>
            <w:tcBorders>
              <w:top w:val="nil"/>
              <w:left w:val="nil"/>
              <w:bottom w:val="single" w:sz="4" w:space="0" w:color="auto"/>
              <w:right w:val="single" w:sz="4" w:space="0" w:color="auto"/>
            </w:tcBorders>
            <w:shd w:val="clear" w:color="auto" w:fill="auto"/>
            <w:vAlign w:val="center"/>
            <w:hideMark/>
          </w:tcPr>
          <w:p w14:paraId="7ACE027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社区建筑溢价率</w:t>
            </w: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4C407F85"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通过合理配置公共资源，功能复合、环境优美、服务设施健全，以及采用低成本、适宜性建筑节能技术，建筑售价溢价20%或租金溢价10%</w:t>
            </w:r>
          </w:p>
        </w:tc>
        <w:tc>
          <w:tcPr>
            <w:tcW w:w="419" w:type="pct"/>
            <w:tcBorders>
              <w:top w:val="nil"/>
              <w:left w:val="nil"/>
              <w:bottom w:val="single" w:sz="4" w:space="0" w:color="auto"/>
              <w:right w:val="single" w:sz="4" w:space="0" w:color="auto"/>
            </w:tcBorders>
            <w:shd w:val="clear" w:color="auto" w:fill="auto"/>
            <w:vAlign w:val="center"/>
            <w:hideMark/>
          </w:tcPr>
          <w:p w14:paraId="6168DC7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EDEC88E"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13C0A4B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607BABA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46AC7B89" w14:textId="77777777" w:rsidTr="00737AB2">
        <w:trPr>
          <w:trHeight w:val="600"/>
        </w:trPr>
        <w:tc>
          <w:tcPr>
            <w:tcW w:w="432" w:type="pct"/>
            <w:vMerge/>
            <w:tcBorders>
              <w:top w:val="nil"/>
              <w:left w:val="single" w:sz="4" w:space="0" w:color="auto"/>
              <w:bottom w:val="single" w:sz="4" w:space="0" w:color="000000"/>
              <w:right w:val="single" w:sz="4" w:space="0" w:color="auto"/>
            </w:tcBorders>
            <w:vAlign w:val="center"/>
            <w:hideMark/>
          </w:tcPr>
          <w:p w14:paraId="2713CF60"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3E0760E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9.5</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3C1C6AC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社区具备智能化管理与服务的系统、智能化网络设施</w:t>
            </w: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29387835"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设置道路管控、建筑用能管理、家居安防等智能化管理与服务系统</w:t>
            </w:r>
          </w:p>
        </w:tc>
        <w:tc>
          <w:tcPr>
            <w:tcW w:w="419" w:type="pct"/>
            <w:tcBorders>
              <w:top w:val="nil"/>
              <w:left w:val="nil"/>
              <w:bottom w:val="single" w:sz="4" w:space="0" w:color="auto"/>
              <w:right w:val="single" w:sz="4" w:space="0" w:color="auto"/>
            </w:tcBorders>
            <w:shd w:val="clear" w:color="auto" w:fill="auto"/>
            <w:vAlign w:val="center"/>
            <w:hideMark/>
          </w:tcPr>
          <w:p w14:paraId="76685A0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1C52910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2693060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715AE26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5FFDF203" w14:textId="77777777" w:rsidTr="00737AB2">
        <w:trPr>
          <w:trHeight w:val="878"/>
        </w:trPr>
        <w:tc>
          <w:tcPr>
            <w:tcW w:w="432" w:type="pct"/>
            <w:vMerge/>
            <w:tcBorders>
              <w:top w:val="nil"/>
              <w:left w:val="single" w:sz="4" w:space="0" w:color="auto"/>
              <w:bottom w:val="single" w:sz="4" w:space="0" w:color="000000"/>
              <w:right w:val="single" w:sz="4" w:space="0" w:color="auto"/>
            </w:tcBorders>
            <w:vAlign w:val="center"/>
            <w:hideMark/>
          </w:tcPr>
          <w:p w14:paraId="620C02D2"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01D51A25"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6758A779"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4F1DC957" w14:textId="77777777" w:rsidR="00737AB2" w:rsidRPr="00737AB2" w:rsidRDefault="00737AB2" w:rsidP="00737AB2">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建立社区信息化基础设施，包括 IP城域网、无线宽带、专网和专线、有线电视网等，无线移动宽带覆盖率达到100%</w:t>
            </w:r>
          </w:p>
        </w:tc>
        <w:tc>
          <w:tcPr>
            <w:tcW w:w="419" w:type="pct"/>
            <w:tcBorders>
              <w:top w:val="nil"/>
              <w:left w:val="nil"/>
              <w:bottom w:val="single" w:sz="4" w:space="0" w:color="auto"/>
              <w:right w:val="single" w:sz="4" w:space="0" w:color="auto"/>
            </w:tcBorders>
            <w:shd w:val="clear" w:color="auto" w:fill="auto"/>
            <w:vAlign w:val="center"/>
            <w:hideMark/>
          </w:tcPr>
          <w:p w14:paraId="44C1ED2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5EB446F0"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4512477E"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694D9299"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r w:rsidR="00737AB2" w:rsidRPr="00737AB2" w14:paraId="4C862937" w14:textId="77777777" w:rsidTr="00737AB2">
        <w:trPr>
          <w:trHeight w:val="2280"/>
        </w:trPr>
        <w:tc>
          <w:tcPr>
            <w:tcW w:w="432"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2C3A55A7" w14:textId="77777777" w:rsidR="00737AB2" w:rsidRPr="00737AB2" w:rsidRDefault="00737AB2" w:rsidP="00737AB2">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优选项</w:t>
            </w:r>
          </w:p>
        </w:tc>
        <w:tc>
          <w:tcPr>
            <w:tcW w:w="528" w:type="pct"/>
            <w:tcBorders>
              <w:top w:val="nil"/>
              <w:left w:val="nil"/>
              <w:bottom w:val="single" w:sz="4" w:space="0" w:color="auto"/>
              <w:right w:val="single" w:sz="4" w:space="0" w:color="auto"/>
            </w:tcBorders>
            <w:shd w:val="clear" w:color="000000" w:fill="FFFFCC"/>
            <w:vAlign w:val="center"/>
            <w:hideMark/>
          </w:tcPr>
          <w:p w14:paraId="54F4A51C"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10.1</w:t>
            </w:r>
          </w:p>
        </w:tc>
        <w:tc>
          <w:tcPr>
            <w:tcW w:w="889" w:type="pct"/>
            <w:tcBorders>
              <w:top w:val="nil"/>
              <w:left w:val="nil"/>
              <w:bottom w:val="single" w:sz="4" w:space="0" w:color="auto"/>
              <w:right w:val="single" w:sz="4" w:space="0" w:color="auto"/>
            </w:tcBorders>
            <w:shd w:val="clear" w:color="000000" w:fill="FFFFCC"/>
            <w:vAlign w:val="center"/>
            <w:hideMark/>
          </w:tcPr>
          <w:p w14:paraId="486EFAE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对有历史文化街区或文物保护单位的社区，应制定相关保护策略确保其不受破坏；对社区内有一定文化价值的既有建筑或景观，优先考虑活化和生态化改造再利用</w:t>
            </w:r>
          </w:p>
        </w:tc>
        <w:tc>
          <w:tcPr>
            <w:tcW w:w="1476" w:type="pct"/>
            <w:gridSpan w:val="2"/>
            <w:tcBorders>
              <w:top w:val="single" w:sz="4" w:space="0" w:color="auto"/>
              <w:left w:val="nil"/>
              <w:bottom w:val="single" w:sz="4" w:space="0" w:color="auto"/>
              <w:right w:val="single" w:sz="4" w:space="0" w:color="000000"/>
            </w:tcBorders>
            <w:shd w:val="clear" w:color="000000" w:fill="FFFFCC"/>
            <w:vAlign w:val="center"/>
            <w:hideMark/>
          </w:tcPr>
          <w:p w14:paraId="649CB16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w:t>
            </w:r>
          </w:p>
        </w:tc>
        <w:tc>
          <w:tcPr>
            <w:tcW w:w="419" w:type="pct"/>
            <w:tcBorders>
              <w:top w:val="nil"/>
              <w:left w:val="nil"/>
              <w:bottom w:val="single" w:sz="4" w:space="0" w:color="auto"/>
              <w:right w:val="single" w:sz="4" w:space="0" w:color="auto"/>
            </w:tcBorders>
            <w:shd w:val="clear" w:color="000000" w:fill="FFFFCC"/>
            <w:vAlign w:val="center"/>
            <w:hideMark/>
          </w:tcPr>
          <w:p w14:paraId="6A4DD64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4722BEF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000000" w:fill="FFFFCC"/>
            <w:vAlign w:val="center"/>
            <w:hideMark/>
          </w:tcPr>
          <w:p w14:paraId="1B0584D1"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000000" w:fill="FFFFCC"/>
            <w:vAlign w:val="center"/>
            <w:hideMark/>
          </w:tcPr>
          <w:p w14:paraId="3DC5136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6C01497C" w14:textId="77777777" w:rsidTr="00737AB2">
        <w:trPr>
          <w:trHeight w:val="960"/>
        </w:trPr>
        <w:tc>
          <w:tcPr>
            <w:tcW w:w="432" w:type="pct"/>
            <w:vMerge/>
            <w:tcBorders>
              <w:top w:val="nil"/>
              <w:left w:val="single" w:sz="4" w:space="0" w:color="auto"/>
              <w:bottom w:val="single" w:sz="4" w:space="0" w:color="000000"/>
              <w:right w:val="single" w:sz="4" w:space="0" w:color="auto"/>
            </w:tcBorders>
            <w:vAlign w:val="center"/>
            <w:hideMark/>
          </w:tcPr>
          <w:p w14:paraId="51E7F1CE"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single" w:sz="4" w:space="0" w:color="auto"/>
              <w:right w:val="single" w:sz="4" w:space="0" w:color="auto"/>
            </w:tcBorders>
            <w:shd w:val="clear" w:color="000000" w:fill="FFFFCC"/>
            <w:vAlign w:val="center"/>
            <w:hideMark/>
          </w:tcPr>
          <w:p w14:paraId="4A3448F9"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10.2</w:t>
            </w:r>
          </w:p>
        </w:tc>
        <w:tc>
          <w:tcPr>
            <w:tcW w:w="889" w:type="pct"/>
            <w:tcBorders>
              <w:top w:val="nil"/>
              <w:left w:val="nil"/>
              <w:bottom w:val="single" w:sz="4" w:space="0" w:color="auto"/>
              <w:right w:val="single" w:sz="4" w:space="0" w:color="auto"/>
            </w:tcBorders>
            <w:shd w:val="clear" w:color="000000" w:fill="FFFFCC"/>
            <w:vAlign w:val="center"/>
            <w:hideMark/>
          </w:tcPr>
          <w:p w14:paraId="52E049D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社区规划与建筑、景观设计体现地方特色与文化</w:t>
            </w:r>
          </w:p>
        </w:tc>
        <w:tc>
          <w:tcPr>
            <w:tcW w:w="1476" w:type="pct"/>
            <w:gridSpan w:val="2"/>
            <w:tcBorders>
              <w:top w:val="single" w:sz="4" w:space="0" w:color="auto"/>
              <w:left w:val="nil"/>
              <w:bottom w:val="single" w:sz="4" w:space="0" w:color="auto"/>
              <w:right w:val="single" w:sz="4" w:space="0" w:color="000000"/>
            </w:tcBorders>
            <w:shd w:val="clear" w:color="000000" w:fill="FFFFCC"/>
            <w:vAlign w:val="center"/>
            <w:hideMark/>
          </w:tcPr>
          <w:p w14:paraId="017D2DE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w:t>
            </w:r>
          </w:p>
        </w:tc>
        <w:tc>
          <w:tcPr>
            <w:tcW w:w="419" w:type="pct"/>
            <w:tcBorders>
              <w:top w:val="nil"/>
              <w:left w:val="nil"/>
              <w:bottom w:val="single" w:sz="4" w:space="0" w:color="auto"/>
              <w:right w:val="single" w:sz="4" w:space="0" w:color="auto"/>
            </w:tcBorders>
            <w:shd w:val="clear" w:color="000000" w:fill="FFFFCC"/>
            <w:vAlign w:val="center"/>
            <w:hideMark/>
          </w:tcPr>
          <w:p w14:paraId="3A5688E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24CED02D"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000000" w:fill="FFFFCC"/>
            <w:vAlign w:val="center"/>
            <w:hideMark/>
          </w:tcPr>
          <w:p w14:paraId="2D150D84"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000000" w:fill="FFFFCC"/>
            <w:vAlign w:val="center"/>
            <w:hideMark/>
          </w:tcPr>
          <w:p w14:paraId="1BB43927"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36E4F4B6" w14:textId="77777777" w:rsidTr="00737AB2">
        <w:trPr>
          <w:trHeight w:val="912"/>
        </w:trPr>
        <w:tc>
          <w:tcPr>
            <w:tcW w:w="432" w:type="pct"/>
            <w:vMerge/>
            <w:tcBorders>
              <w:top w:val="nil"/>
              <w:left w:val="single" w:sz="4" w:space="0" w:color="auto"/>
              <w:bottom w:val="single" w:sz="4" w:space="0" w:color="000000"/>
              <w:right w:val="single" w:sz="4" w:space="0" w:color="auto"/>
            </w:tcBorders>
            <w:vAlign w:val="center"/>
            <w:hideMark/>
          </w:tcPr>
          <w:p w14:paraId="086CFC5B"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single" w:sz="4" w:space="0" w:color="auto"/>
              <w:right w:val="single" w:sz="4" w:space="0" w:color="auto"/>
            </w:tcBorders>
            <w:shd w:val="clear" w:color="000000" w:fill="FFFFCC"/>
            <w:vAlign w:val="center"/>
            <w:hideMark/>
          </w:tcPr>
          <w:p w14:paraId="5819EE8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10.3</w:t>
            </w:r>
          </w:p>
        </w:tc>
        <w:tc>
          <w:tcPr>
            <w:tcW w:w="889" w:type="pct"/>
            <w:tcBorders>
              <w:top w:val="nil"/>
              <w:left w:val="nil"/>
              <w:bottom w:val="single" w:sz="4" w:space="0" w:color="auto"/>
              <w:right w:val="single" w:sz="4" w:space="0" w:color="auto"/>
            </w:tcBorders>
            <w:shd w:val="clear" w:color="000000" w:fill="FFFFCC"/>
            <w:vAlign w:val="center"/>
            <w:hideMark/>
          </w:tcPr>
          <w:p w14:paraId="75E05EB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社区规划都市农业区域，且形成一定规模化示范效应</w:t>
            </w:r>
          </w:p>
        </w:tc>
        <w:tc>
          <w:tcPr>
            <w:tcW w:w="1476" w:type="pct"/>
            <w:gridSpan w:val="2"/>
            <w:tcBorders>
              <w:top w:val="single" w:sz="4" w:space="0" w:color="auto"/>
              <w:left w:val="nil"/>
              <w:bottom w:val="single" w:sz="4" w:space="0" w:color="auto"/>
              <w:right w:val="single" w:sz="4" w:space="0" w:color="000000"/>
            </w:tcBorders>
            <w:shd w:val="clear" w:color="000000" w:fill="FFFFCC"/>
            <w:vAlign w:val="center"/>
            <w:hideMark/>
          </w:tcPr>
          <w:p w14:paraId="3B9FBDF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w:t>
            </w:r>
          </w:p>
        </w:tc>
        <w:tc>
          <w:tcPr>
            <w:tcW w:w="419" w:type="pct"/>
            <w:tcBorders>
              <w:top w:val="nil"/>
              <w:left w:val="nil"/>
              <w:bottom w:val="single" w:sz="4" w:space="0" w:color="auto"/>
              <w:right w:val="single" w:sz="4" w:space="0" w:color="auto"/>
            </w:tcBorders>
            <w:shd w:val="clear" w:color="000000" w:fill="FFFFCC"/>
            <w:vAlign w:val="center"/>
            <w:hideMark/>
          </w:tcPr>
          <w:p w14:paraId="7A46D0CA"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09C4DA7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000000" w:fill="FFFFCC"/>
            <w:vAlign w:val="center"/>
            <w:hideMark/>
          </w:tcPr>
          <w:p w14:paraId="5FFD84C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000000" w:fill="FFFFCC"/>
            <w:vAlign w:val="center"/>
            <w:hideMark/>
          </w:tcPr>
          <w:p w14:paraId="1BDAE08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19083A15" w14:textId="77777777" w:rsidTr="00737AB2">
        <w:trPr>
          <w:trHeight w:val="702"/>
        </w:trPr>
        <w:tc>
          <w:tcPr>
            <w:tcW w:w="432" w:type="pct"/>
            <w:vMerge/>
            <w:tcBorders>
              <w:top w:val="nil"/>
              <w:left w:val="single" w:sz="4" w:space="0" w:color="auto"/>
              <w:bottom w:val="single" w:sz="4" w:space="0" w:color="000000"/>
              <w:right w:val="single" w:sz="4" w:space="0" w:color="auto"/>
            </w:tcBorders>
            <w:vAlign w:val="center"/>
            <w:hideMark/>
          </w:tcPr>
          <w:p w14:paraId="088CB726"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195AD5CB"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10.4</w:t>
            </w:r>
          </w:p>
        </w:tc>
        <w:tc>
          <w:tcPr>
            <w:tcW w:w="889" w:type="pct"/>
            <w:vMerge w:val="restart"/>
            <w:tcBorders>
              <w:top w:val="nil"/>
              <w:left w:val="single" w:sz="4" w:space="0" w:color="auto"/>
              <w:bottom w:val="single" w:sz="4" w:space="0" w:color="auto"/>
              <w:right w:val="single" w:sz="4" w:space="0" w:color="auto"/>
            </w:tcBorders>
            <w:shd w:val="clear" w:color="000000" w:fill="FFFFCC"/>
            <w:vAlign w:val="center"/>
            <w:hideMark/>
          </w:tcPr>
          <w:p w14:paraId="4CC88DE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结合本土条件因地制宜地采取节约资源、保护生态环境、保障安全健康其他创新绿色生态技术，并有明显效益</w:t>
            </w:r>
          </w:p>
        </w:tc>
        <w:tc>
          <w:tcPr>
            <w:tcW w:w="1476" w:type="pct"/>
            <w:gridSpan w:val="2"/>
            <w:tcBorders>
              <w:top w:val="single" w:sz="4" w:space="0" w:color="auto"/>
              <w:left w:val="nil"/>
              <w:bottom w:val="single" w:sz="4" w:space="0" w:color="auto"/>
              <w:right w:val="single" w:sz="4" w:space="0" w:color="000000"/>
            </w:tcBorders>
            <w:shd w:val="clear" w:color="000000" w:fill="FFFFCC"/>
            <w:vAlign w:val="center"/>
            <w:hideMark/>
          </w:tcPr>
          <w:p w14:paraId="44F9E4B6" w14:textId="77777777" w:rsidR="00737AB2" w:rsidRPr="00737AB2" w:rsidRDefault="00737AB2" w:rsidP="00737AB2">
            <w:pPr>
              <w:widowControl/>
              <w:spacing w:line="240" w:lineRule="auto"/>
              <w:ind w:firstLineChars="0" w:firstLine="0"/>
              <w:jc w:val="center"/>
              <w:rPr>
                <w:rFonts w:ascii="Calibri" w:hAnsi="Calibri" w:cs="Calibri"/>
                <w:color w:val="000000"/>
                <w:kern w:val="0"/>
                <w:sz w:val="22"/>
              </w:rPr>
            </w:pPr>
            <w:r w:rsidRPr="00737AB2">
              <w:rPr>
                <w:rFonts w:ascii="Calibri" w:hAnsi="Calibri" w:cs="Calibri"/>
                <w:color w:val="000000"/>
                <w:kern w:val="0"/>
                <w:sz w:val="22"/>
              </w:rPr>
              <w:t>1</w:t>
            </w:r>
            <w:r w:rsidRPr="00737AB2">
              <w:rPr>
                <w:rFonts w:ascii="宋体" w:hAnsi="宋体" w:cs="Calibri" w:hint="eastAsia"/>
                <w:color w:val="000000"/>
                <w:kern w:val="0"/>
                <w:sz w:val="22"/>
              </w:rPr>
              <w:t>项</w:t>
            </w:r>
          </w:p>
        </w:tc>
        <w:tc>
          <w:tcPr>
            <w:tcW w:w="419" w:type="pct"/>
            <w:tcBorders>
              <w:top w:val="nil"/>
              <w:left w:val="nil"/>
              <w:bottom w:val="single" w:sz="4" w:space="0" w:color="auto"/>
              <w:right w:val="single" w:sz="4" w:space="0" w:color="auto"/>
            </w:tcBorders>
            <w:shd w:val="clear" w:color="000000" w:fill="FFFFCC"/>
            <w:vAlign w:val="center"/>
            <w:hideMark/>
          </w:tcPr>
          <w:p w14:paraId="41C8009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000000" w:fill="FFFFCC"/>
            <w:vAlign w:val="center"/>
            <w:hideMark/>
          </w:tcPr>
          <w:p w14:paraId="30CC99D2"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3435E0C3"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11FC59A8"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737AB2" w:rsidRPr="00737AB2" w14:paraId="2884DE9D" w14:textId="77777777" w:rsidTr="00737AB2">
        <w:trPr>
          <w:trHeight w:val="702"/>
        </w:trPr>
        <w:tc>
          <w:tcPr>
            <w:tcW w:w="432" w:type="pct"/>
            <w:vMerge/>
            <w:tcBorders>
              <w:top w:val="nil"/>
              <w:left w:val="single" w:sz="4" w:space="0" w:color="auto"/>
              <w:bottom w:val="single" w:sz="4" w:space="0" w:color="000000"/>
              <w:right w:val="single" w:sz="4" w:space="0" w:color="auto"/>
            </w:tcBorders>
            <w:vAlign w:val="center"/>
            <w:hideMark/>
          </w:tcPr>
          <w:p w14:paraId="6BA8E602" w14:textId="77777777" w:rsidR="00737AB2" w:rsidRPr="00737AB2" w:rsidRDefault="00737AB2" w:rsidP="00737AB2">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498CC546"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3878F3A9"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000000"/>
            </w:tcBorders>
            <w:shd w:val="clear" w:color="000000" w:fill="FFFFCC"/>
            <w:vAlign w:val="center"/>
            <w:hideMark/>
          </w:tcPr>
          <w:p w14:paraId="13285D15" w14:textId="77777777" w:rsidR="00737AB2" w:rsidRPr="00737AB2" w:rsidRDefault="00737AB2" w:rsidP="00737AB2">
            <w:pPr>
              <w:widowControl/>
              <w:spacing w:line="240" w:lineRule="auto"/>
              <w:ind w:firstLineChars="0" w:firstLine="0"/>
              <w:jc w:val="center"/>
              <w:rPr>
                <w:rFonts w:ascii="Calibri" w:hAnsi="Calibri" w:cs="Calibri"/>
                <w:color w:val="000000"/>
                <w:kern w:val="0"/>
                <w:sz w:val="22"/>
              </w:rPr>
            </w:pPr>
            <w:r w:rsidRPr="00737AB2">
              <w:rPr>
                <w:rFonts w:ascii="Calibri" w:hAnsi="Calibri" w:cs="Calibri"/>
                <w:color w:val="000000"/>
                <w:kern w:val="0"/>
                <w:sz w:val="22"/>
              </w:rPr>
              <w:t>2</w:t>
            </w:r>
            <w:r w:rsidRPr="00737AB2">
              <w:rPr>
                <w:rFonts w:ascii="宋体" w:hAnsi="宋体" w:cs="Calibri" w:hint="eastAsia"/>
                <w:color w:val="000000"/>
                <w:kern w:val="0"/>
                <w:sz w:val="22"/>
              </w:rPr>
              <w:t>项及以上</w:t>
            </w:r>
          </w:p>
        </w:tc>
        <w:tc>
          <w:tcPr>
            <w:tcW w:w="419" w:type="pct"/>
            <w:tcBorders>
              <w:top w:val="nil"/>
              <w:left w:val="nil"/>
              <w:bottom w:val="single" w:sz="4" w:space="0" w:color="auto"/>
              <w:right w:val="single" w:sz="4" w:space="0" w:color="auto"/>
            </w:tcBorders>
            <w:shd w:val="clear" w:color="000000" w:fill="FFFFCC"/>
            <w:vAlign w:val="center"/>
            <w:hideMark/>
          </w:tcPr>
          <w:p w14:paraId="0E87BB6F"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000000" w:fill="FFFFCC"/>
            <w:vAlign w:val="center"/>
            <w:hideMark/>
          </w:tcPr>
          <w:p w14:paraId="082E4BC6" w14:textId="77777777" w:rsidR="00737AB2" w:rsidRPr="00737AB2" w:rsidRDefault="00737AB2" w:rsidP="00737AB2">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731D921D"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c>
          <w:tcPr>
            <w:tcW w:w="419" w:type="pct"/>
            <w:vMerge/>
            <w:tcBorders>
              <w:top w:val="nil"/>
              <w:left w:val="single" w:sz="4" w:space="0" w:color="auto"/>
              <w:bottom w:val="single" w:sz="4" w:space="0" w:color="000000"/>
              <w:right w:val="single" w:sz="4" w:space="0" w:color="auto"/>
            </w:tcBorders>
            <w:vAlign w:val="center"/>
            <w:hideMark/>
          </w:tcPr>
          <w:p w14:paraId="507B62A9" w14:textId="77777777" w:rsidR="00737AB2" w:rsidRPr="00737AB2" w:rsidRDefault="00737AB2" w:rsidP="00737AB2">
            <w:pPr>
              <w:widowControl/>
              <w:spacing w:line="240" w:lineRule="auto"/>
              <w:ind w:firstLineChars="0" w:firstLine="0"/>
              <w:jc w:val="left"/>
              <w:rPr>
                <w:rFonts w:ascii="宋体" w:hAnsi="宋体" w:cs="宋体"/>
                <w:color w:val="000000"/>
                <w:kern w:val="0"/>
                <w:sz w:val="22"/>
              </w:rPr>
            </w:pPr>
          </w:p>
        </w:tc>
      </w:tr>
    </w:tbl>
    <w:p w14:paraId="0E7E0C46" w14:textId="1CFAD42F" w:rsidR="004576EB" w:rsidRPr="00737AB2" w:rsidRDefault="004576EB" w:rsidP="00737AB2">
      <w:pPr>
        <w:ind w:firstLine="480"/>
      </w:pPr>
    </w:p>
    <w:sectPr w:rsidR="004576EB" w:rsidRPr="00737AB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39DF6" w14:textId="77777777" w:rsidR="00567B20" w:rsidRDefault="00567B20" w:rsidP="00B46957">
      <w:pPr>
        <w:spacing w:line="240" w:lineRule="auto"/>
        <w:ind w:firstLine="480"/>
      </w:pPr>
      <w:r>
        <w:separator/>
      </w:r>
    </w:p>
  </w:endnote>
  <w:endnote w:type="continuationSeparator" w:id="0">
    <w:p w14:paraId="6D945661" w14:textId="77777777" w:rsidR="00567B20" w:rsidRDefault="00567B20" w:rsidP="00B4695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771F6" w14:textId="77777777" w:rsidR="00737AB2" w:rsidRDefault="00737AB2">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B9A8" w14:textId="77777777" w:rsidR="00737AB2" w:rsidRDefault="00737AB2">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5143E" w14:textId="77777777" w:rsidR="00737AB2" w:rsidRDefault="00737AB2">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C11A8" w14:textId="77777777" w:rsidR="00567B20" w:rsidRDefault="00567B20" w:rsidP="00B46957">
      <w:pPr>
        <w:spacing w:line="240" w:lineRule="auto"/>
        <w:ind w:firstLine="480"/>
      </w:pPr>
      <w:r>
        <w:separator/>
      </w:r>
    </w:p>
  </w:footnote>
  <w:footnote w:type="continuationSeparator" w:id="0">
    <w:p w14:paraId="6C80AADA" w14:textId="77777777" w:rsidR="00567B20" w:rsidRDefault="00567B20" w:rsidP="00B4695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C060" w14:textId="77777777" w:rsidR="00737AB2" w:rsidRDefault="00737AB2">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13AB" w14:textId="77777777" w:rsidR="00737AB2" w:rsidRDefault="00737AB2">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D015" w14:textId="77777777" w:rsidR="00737AB2" w:rsidRDefault="00737AB2">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4F"/>
    <w:rsid w:val="000718DF"/>
    <w:rsid w:val="00090654"/>
    <w:rsid w:val="0012312E"/>
    <w:rsid w:val="0020203B"/>
    <w:rsid w:val="003E3B6D"/>
    <w:rsid w:val="004576EB"/>
    <w:rsid w:val="005500F0"/>
    <w:rsid w:val="00567B20"/>
    <w:rsid w:val="005B10DC"/>
    <w:rsid w:val="006356A7"/>
    <w:rsid w:val="0064111D"/>
    <w:rsid w:val="00737AB2"/>
    <w:rsid w:val="00784512"/>
    <w:rsid w:val="00A335D6"/>
    <w:rsid w:val="00B46957"/>
    <w:rsid w:val="00B94DCB"/>
    <w:rsid w:val="00BA2CD8"/>
    <w:rsid w:val="00C176D2"/>
    <w:rsid w:val="00CC2EE6"/>
    <w:rsid w:val="00DD66FF"/>
    <w:rsid w:val="00DF7CF8"/>
    <w:rsid w:val="00E96D25"/>
    <w:rsid w:val="00EE55A6"/>
    <w:rsid w:val="00F67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0E8F2"/>
  <w15:chartTrackingRefBased/>
  <w15:docId w15:val="{40A838D4-8A96-44EC-9C3A-E2600270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111D"/>
    <w:pPr>
      <w:widowControl w:val="0"/>
      <w:spacing w:line="360" w:lineRule="auto"/>
      <w:ind w:firstLineChars="200" w:firstLine="200"/>
      <w:jc w:val="both"/>
    </w:pPr>
    <w:rPr>
      <w:rFonts w:eastAsia="宋体"/>
      <w:sz w:val="24"/>
    </w:rPr>
  </w:style>
  <w:style w:type="paragraph" w:styleId="1">
    <w:name w:val="heading 1"/>
    <w:basedOn w:val="a"/>
    <w:next w:val="a"/>
    <w:link w:val="10"/>
    <w:uiPriority w:val="9"/>
    <w:qFormat/>
    <w:rsid w:val="004576EB"/>
    <w:pPr>
      <w:keepNext/>
      <w:keepLines/>
      <w:spacing w:before="340" w:after="330" w:line="578" w:lineRule="auto"/>
      <w:outlineLvl w:val="0"/>
    </w:pPr>
    <w:rPr>
      <w:rFonts w:ascii="Calibri" w:hAnsi="Calibri" w:cs="Times New Roman"/>
      <w:b/>
      <w:bCs/>
      <w:kern w:val="44"/>
      <w:sz w:val="44"/>
      <w:szCs w:val="44"/>
    </w:rPr>
  </w:style>
  <w:style w:type="paragraph" w:styleId="2">
    <w:name w:val="heading 2"/>
    <w:basedOn w:val="a"/>
    <w:next w:val="a"/>
    <w:link w:val="20"/>
    <w:uiPriority w:val="9"/>
    <w:unhideWhenUsed/>
    <w:qFormat/>
    <w:rsid w:val="006356A7"/>
    <w:pPr>
      <w:keepNext/>
      <w:keepLines/>
      <w:outlineLvl w:val="1"/>
    </w:pPr>
    <w:rPr>
      <w:rFonts w:asciiTheme="majorHAnsi"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576EB"/>
    <w:rPr>
      <w:rFonts w:ascii="Calibri" w:eastAsia="宋体" w:hAnsi="Calibri" w:cs="Times New Roman"/>
      <w:b/>
      <w:bCs/>
      <w:kern w:val="44"/>
      <w:sz w:val="44"/>
      <w:szCs w:val="44"/>
    </w:rPr>
  </w:style>
  <w:style w:type="paragraph" w:customStyle="1" w:styleId="p0">
    <w:name w:val="p0"/>
    <w:basedOn w:val="a"/>
    <w:rsid w:val="004576EB"/>
    <w:pPr>
      <w:widowControl/>
    </w:pPr>
    <w:rPr>
      <w:rFonts w:ascii="Times New Roman" w:hAnsi="Times New Roman" w:cs="Times New Roman"/>
      <w:kern w:val="0"/>
      <w:szCs w:val="21"/>
    </w:rPr>
  </w:style>
  <w:style w:type="paragraph" w:styleId="a3">
    <w:name w:val="header"/>
    <w:basedOn w:val="a"/>
    <w:link w:val="a4"/>
    <w:uiPriority w:val="99"/>
    <w:unhideWhenUsed/>
    <w:rsid w:val="00B469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6957"/>
    <w:rPr>
      <w:sz w:val="18"/>
      <w:szCs w:val="18"/>
    </w:rPr>
  </w:style>
  <w:style w:type="paragraph" w:styleId="a5">
    <w:name w:val="footer"/>
    <w:basedOn w:val="a"/>
    <w:link w:val="a6"/>
    <w:uiPriority w:val="99"/>
    <w:unhideWhenUsed/>
    <w:rsid w:val="00B46957"/>
    <w:pPr>
      <w:tabs>
        <w:tab w:val="center" w:pos="4153"/>
        <w:tab w:val="right" w:pos="8306"/>
      </w:tabs>
      <w:snapToGrid w:val="0"/>
      <w:jc w:val="left"/>
    </w:pPr>
    <w:rPr>
      <w:sz w:val="18"/>
      <w:szCs w:val="18"/>
    </w:rPr>
  </w:style>
  <w:style w:type="character" w:customStyle="1" w:styleId="a6">
    <w:name w:val="页脚 字符"/>
    <w:basedOn w:val="a0"/>
    <w:link w:val="a5"/>
    <w:uiPriority w:val="99"/>
    <w:rsid w:val="00B46957"/>
    <w:rPr>
      <w:sz w:val="18"/>
      <w:szCs w:val="18"/>
    </w:rPr>
  </w:style>
  <w:style w:type="character" w:customStyle="1" w:styleId="20">
    <w:name w:val="标题 2 字符"/>
    <w:basedOn w:val="a0"/>
    <w:link w:val="2"/>
    <w:uiPriority w:val="9"/>
    <w:rsid w:val="006356A7"/>
    <w:rPr>
      <w:rFonts w:asciiTheme="majorHAnsi" w:eastAsia="宋体" w:hAnsiTheme="majorHAnsi" w:cstheme="majorBidi"/>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2395">
      <w:bodyDiv w:val="1"/>
      <w:marLeft w:val="0"/>
      <w:marRight w:val="0"/>
      <w:marTop w:val="0"/>
      <w:marBottom w:val="0"/>
      <w:divBdr>
        <w:top w:val="none" w:sz="0" w:space="0" w:color="auto"/>
        <w:left w:val="none" w:sz="0" w:space="0" w:color="auto"/>
        <w:bottom w:val="none" w:sz="0" w:space="0" w:color="auto"/>
        <w:right w:val="none" w:sz="0" w:space="0" w:color="auto"/>
      </w:divBdr>
    </w:div>
    <w:div w:id="542986870">
      <w:bodyDiv w:val="1"/>
      <w:marLeft w:val="0"/>
      <w:marRight w:val="0"/>
      <w:marTop w:val="0"/>
      <w:marBottom w:val="0"/>
      <w:divBdr>
        <w:top w:val="none" w:sz="0" w:space="0" w:color="auto"/>
        <w:left w:val="none" w:sz="0" w:space="0" w:color="auto"/>
        <w:bottom w:val="none" w:sz="0" w:space="0" w:color="auto"/>
        <w:right w:val="none" w:sz="0" w:space="0" w:color="auto"/>
      </w:divBdr>
    </w:div>
    <w:div w:id="580412331">
      <w:bodyDiv w:val="1"/>
      <w:marLeft w:val="0"/>
      <w:marRight w:val="0"/>
      <w:marTop w:val="0"/>
      <w:marBottom w:val="0"/>
      <w:divBdr>
        <w:top w:val="none" w:sz="0" w:space="0" w:color="auto"/>
        <w:left w:val="none" w:sz="0" w:space="0" w:color="auto"/>
        <w:bottom w:val="none" w:sz="0" w:space="0" w:color="auto"/>
        <w:right w:val="none" w:sz="0" w:space="0" w:color="auto"/>
      </w:divBdr>
    </w:div>
    <w:div w:id="811366024">
      <w:bodyDiv w:val="1"/>
      <w:marLeft w:val="0"/>
      <w:marRight w:val="0"/>
      <w:marTop w:val="0"/>
      <w:marBottom w:val="0"/>
      <w:divBdr>
        <w:top w:val="none" w:sz="0" w:space="0" w:color="auto"/>
        <w:left w:val="none" w:sz="0" w:space="0" w:color="auto"/>
        <w:bottom w:val="none" w:sz="0" w:space="0" w:color="auto"/>
        <w:right w:val="none" w:sz="0" w:space="0" w:color="auto"/>
      </w:divBdr>
    </w:div>
    <w:div w:id="1322194602">
      <w:bodyDiv w:val="1"/>
      <w:marLeft w:val="0"/>
      <w:marRight w:val="0"/>
      <w:marTop w:val="0"/>
      <w:marBottom w:val="0"/>
      <w:divBdr>
        <w:top w:val="none" w:sz="0" w:space="0" w:color="auto"/>
        <w:left w:val="none" w:sz="0" w:space="0" w:color="auto"/>
        <w:bottom w:val="none" w:sz="0" w:space="0" w:color="auto"/>
        <w:right w:val="none" w:sz="0" w:space="0" w:color="auto"/>
      </w:divBdr>
    </w:div>
    <w:div w:id="1740905176">
      <w:bodyDiv w:val="1"/>
      <w:marLeft w:val="0"/>
      <w:marRight w:val="0"/>
      <w:marTop w:val="0"/>
      <w:marBottom w:val="0"/>
      <w:divBdr>
        <w:top w:val="none" w:sz="0" w:space="0" w:color="auto"/>
        <w:left w:val="none" w:sz="0" w:space="0" w:color="auto"/>
        <w:bottom w:val="none" w:sz="0" w:space="0" w:color="auto"/>
        <w:right w:val="none" w:sz="0" w:space="0" w:color="auto"/>
      </w:divBdr>
    </w:div>
    <w:div w:id="191732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10</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2017-11-14T10:05:00Z</dcterms:created>
  <dcterms:modified xsi:type="dcterms:W3CDTF">2017-11-16T08:14:00Z</dcterms:modified>
</cp:coreProperties>
</file>