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7D157" w14:textId="28874F5D" w:rsidR="00C66291" w:rsidRDefault="004576EB" w:rsidP="00A97809">
      <w:pPr>
        <w:pStyle w:val="1"/>
      </w:pPr>
      <w:r w:rsidRPr="004576EB">
        <w:rPr>
          <w:rFonts w:hint="eastAsia"/>
        </w:rPr>
        <w:t>生态社区</w:t>
      </w:r>
      <w:r w:rsidR="00B21432">
        <w:rPr>
          <w:rFonts w:hint="eastAsia"/>
        </w:rPr>
        <w:t>自评估报告</w:t>
      </w:r>
      <w:bookmarkStart w:id="0" w:name="_GoBack"/>
      <w:bookmarkEnd w:id="0"/>
    </w:p>
    <w:p w14:paraId="55A38A62" w14:textId="3D23B0AE" w:rsidR="008C6FF5" w:rsidRDefault="008C6FF5" w:rsidP="00B21432">
      <w:pPr>
        <w:ind w:firstLine="480"/>
        <w:rPr>
          <w:shd w:val="clear" w:color="auto" w:fill="FFFFFF"/>
        </w:rPr>
      </w:pPr>
      <w:r>
        <w:rPr>
          <w:rFonts w:hint="eastAsia"/>
          <w:shd w:val="clear" w:color="auto" w:fill="FFFFFF"/>
        </w:rPr>
        <w:t>要求：</w:t>
      </w:r>
    </w:p>
    <w:p w14:paraId="0E7E0C46" w14:textId="3EF08031" w:rsidR="004576EB" w:rsidRDefault="00B21432" w:rsidP="00B21432">
      <w:pPr>
        <w:ind w:firstLine="480"/>
        <w:rPr>
          <w:shd w:val="clear" w:color="auto" w:fill="FFFFFF"/>
        </w:rPr>
      </w:pPr>
      <w:r w:rsidRPr="00BA251D">
        <w:rPr>
          <w:rFonts w:hint="eastAsia"/>
          <w:shd w:val="clear" w:color="auto" w:fill="FFFFFF"/>
        </w:rPr>
        <w:t>申报单位依据</w:t>
      </w:r>
      <w:r w:rsidRPr="00BA251D">
        <w:rPr>
          <w:shd w:val="clear" w:color="auto" w:fill="FFFFFF"/>
        </w:rPr>
        <w:t>《</w:t>
      </w:r>
      <w:r>
        <w:rPr>
          <w:rFonts w:hint="eastAsia"/>
          <w:shd w:val="clear" w:color="auto" w:fill="FFFFFF"/>
        </w:rPr>
        <w:t>生态社区</w:t>
      </w:r>
      <w:r w:rsidRPr="00BA251D">
        <w:rPr>
          <w:rFonts w:hint="eastAsia"/>
          <w:shd w:val="clear" w:color="auto" w:fill="FFFFFF"/>
        </w:rPr>
        <w:t>评分表》进行自评估打分，并完成自评估报告。</w:t>
      </w:r>
      <w:r w:rsidRPr="00BA251D">
        <w:rPr>
          <w:shd w:val="clear" w:color="auto" w:fill="FFFFFF"/>
        </w:rPr>
        <w:t>自评估</w:t>
      </w:r>
      <w:r w:rsidRPr="00BA251D">
        <w:rPr>
          <w:rFonts w:hint="eastAsia"/>
          <w:shd w:val="clear" w:color="auto" w:fill="FFFFFF"/>
        </w:rPr>
        <w:t>报告需</w:t>
      </w:r>
      <w:r w:rsidRPr="00BA251D">
        <w:rPr>
          <w:shd w:val="clear" w:color="auto" w:fill="FFFFFF"/>
        </w:rPr>
        <w:t>针对评分表的每一项</w:t>
      </w:r>
      <w:r w:rsidRPr="00BA251D">
        <w:rPr>
          <w:rFonts w:hint="eastAsia"/>
          <w:shd w:val="clear" w:color="auto" w:fill="FFFFFF"/>
        </w:rPr>
        <w:t>进行打分，</w:t>
      </w:r>
      <w:r w:rsidRPr="00BA251D">
        <w:rPr>
          <w:shd w:val="clear" w:color="auto" w:fill="FFFFFF"/>
        </w:rPr>
        <w:t>阐明</w:t>
      </w:r>
      <w:r w:rsidRPr="00BA251D">
        <w:rPr>
          <w:rFonts w:hint="eastAsia"/>
          <w:shd w:val="clear" w:color="auto" w:fill="FFFFFF"/>
        </w:rPr>
        <w:t>得分要点</w:t>
      </w:r>
      <w:r w:rsidR="008C6FF5">
        <w:rPr>
          <w:rFonts w:hint="eastAsia"/>
          <w:shd w:val="clear" w:color="auto" w:fill="FFFFFF"/>
        </w:rPr>
        <w:t>并</w:t>
      </w:r>
      <w:r w:rsidRPr="00BA251D">
        <w:rPr>
          <w:shd w:val="clear" w:color="auto" w:fill="FFFFFF"/>
        </w:rPr>
        <w:t>提供相应的证明材料</w:t>
      </w:r>
      <w:r w:rsidRPr="00BA251D">
        <w:rPr>
          <w:rFonts w:hint="eastAsia"/>
          <w:shd w:val="clear" w:color="auto" w:fill="FFFFFF"/>
        </w:rPr>
        <w:t>。自评估报告</w:t>
      </w:r>
      <w:r w:rsidRPr="00BA251D">
        <w:rPr>
          <w:shd w:val="clear" w:color="auto" w:fill="FFFFFF"/>
        </w:rPr>
        <w:t>应</w:t>
      </w:r>
      <w:r w:rsidRPr="00BA251D">
        <w:rPr>
          <w:rFonts w:hint="eastAsia"/>
          <w:shd w:val="clear" w:color="auto" w:fill="FFFFFF"/>
        </w:rPr>
        <w:t>突出重点，强调实质性内容和建设实践，语言简练，避免冗余。</w:t>
      </w:r>
    </w:p>
    <w:p w14:paraId="627099DF" w14:textId="18713305" w:rsidR="00910745" w:rsidRDefault="0065638E" w:rsidP="00B21432">
      <w:pPr>
        <w:ind w:firstLine="480"/>
        <w:rPr>
          <w:rFonts w:hint="eastAsia"/>
          <w:shd w:val="clear" w:color="auto" w:fill="FFFFFF"/>
        </w:rPr>
      </w:pPr>
      <w:r>
        <w:rPr>
          <w:rFonts w:hint="eastAsia"/>
          <w:shd w:val="clear" w:color="auto" w:fill="FFFFFF"/>
        </w:rPr>
        <w:t>自评估报告</w:t>
      </w:r>
      <w:r w:rsidR="00910745">
        <w:rPr>
          <w:rFonts w:hint="eastAsia"/>
          <w:shd w:val="clear" w:color="auto" w:fill="FFFFFF"/>
        </w:rPr>
        <w:t>可按照以下格式添加内容</w:t>
      </w:r>
      <w:r>
        <w:rPr>
          <w:rFonts w:hint="eastAsia"/>
          <w:shd w:val="clear" w:color="auto" w:fill="FFFFFF"/>
        </w:rPr>
        <w:t>。</w:t>
      </w:r>
    </w:p>
    <w:p w14:paraId="07DAE594" w14:textId="77777777" w:rsidR="00910745" w:rsidRPr="00910745" w:rsidRDefault="00910745" w:rsidP="00A97809">
      <w:pPr>
        <w:pStyle w:val="1"/>
      </w:pPr>
      <w:bookmarkStart w:id="1" w:name="_Toc422407170"/>
      <w:r w:rsidRPr="00910745">
        <w:rPr>
          <w:rFonts w:hint="eastAsia"/>
        </w:rPr>
        <w:t>一、自评总述</w:t>
      </w:r>
      <w:bookmarkEnd w:id="1"/>
    </w:p>
    <w:p w14:paraId="73A60859" w14:textId="6676241B" w:rsidR="00910745" w:rsidRPr="00910745" w:rsidRDefault="00910745" w:rsidP="00910745">
      <w:pPr>
        <w:ind w:firstLine="480"/>
        <w:rPr>
          <w:rFonts w:cs="Times New Roman"/>
        </w:rPr>
      </w:pPr>
      <w:r w:rsidRPr="00910745">
        <w:rPr>
          <w:rFonts w:cs="Times New Roman" w:hint="eastAsia"/>
        </w:rPr>
        <w:t>经自评估，</w:t>
      </w:r>
      <w:r w:rsidR="001D1EB5">
        <w:rPr>
          <w:rFonts w:cs="Times New Roman" w:hint="eastAsia"/>
        </w:rPr>
        <w:t>本</w:t>
      </w:r>
      <w:r w:rsidRPr="00910745">
        <w:rPr>
          <w:rFonts w:cs="Times New Roman" w:hint="eastAsia"/>
        </w:rPr>
        <w:t>项目生态</w:t>
      </w:r>
      <w:r w:rsidR="001D1EB5">
        <w:rPr>
          <w:rFonts w:cs="Times New Roman" w:hint="eastAsia"/>
        </w:rPr>
        <w:t>社</w:t>
      </w:r>
      <w:r w:rsidRPr="00910745">
        <w:rPr>
          <w:rFonts w:cs="Times New Roman" w:hint="eastAsia"/>
        </w:rPr>
        <w:t>区总得分</w:t>
      </w:r>
      <w:r w:rsidR="001D1EB5" w:rsidRPr="001D1EB5">
        <w:rPr>
          <w:rFonts w:cs="Times New Roman"/>
          <w:u w:val="single"/>
        </w:rPr>
        <w:t xml:space="preserve">   </w:t>
      </w:r>
      <w:r w:rsidR="00A97809">
        <w:rPr>
          <w:rFonts w:cs="Times New Roman" w:hint="eastAsia"/>
        </w:rPr>
        <w:t>分，不参评项共计</w:t>
      </w:r>
      <w:r w:rsidR="00A97809" w:rsidRPr="001D1EB5">
        <w:rPr>
          <w:rFonts w:cs="Times New Roman"/>
          <w:u w:val="single"/>
        </w:rPr>
        <w:t xml:space="preserve">   </w:t>
      </w:r>
      <w:r w:rsidR="00A97809">
        <w:rPr>
          <w:rFonts w:cs="Times New Roman" w:hint="eastAsia"/>
        </w:rPr>
        <w:t>分，</w:t>
      </w:r>
      <w:r w:rsidRPr="00910745">
        <w:rPr>
          <w:rFonts w:cs="Times New Roman" w:hint="eastAsia"/>
        </w:rPr>
        <w:t>各类别得分情况见下表。</w:t>
      </w:r>
    </w:p>
    <w:p w14:paraId="439B3744" w14:textId="63DF737B" w:rsidR="00910745" w:rsidRPr="00910745" w:rsidRDefault="001D1EB5" w:rsidP="00910745">
      <w:pPr>
        <w:ind w:firstLineChars="0" w:firstLine="0"/>
        <w:jc w:val="center"/>
        <w:rPr>
          <w:rFonts w:cs="宋体"/>
          <w:color w:val="000000"/>
          <w:sz w:val="21"/>
          <w:szCs w:val="24"/>
        </w:rPr>
      </w:pPr>
      <w:r>
        <w:rPr>
          <w:rFonts w:cs="宋体" w:hint="eastAsia"/>
          <w:color w:val="000000"/>
          <w:sz w:val="21"/>
          <w:szCs w:val="24"/>
        </w:rPr>
        <w:t>表</w:t>
      </w:r>
      <w:r>
        <w:rPr>
          <w:rFonts w:cs="宋体" w:hint="eastAsia"/>
          <w:color w:val="000000"/>
          <w:sz w:val="21"/>
          <w:szCs w:val="24"/>
        </w:rPr>
        <w:t xml:space="preserve">1 </w:t>
      </w:r>
      <w:r w:rsidR="00910745">
        <w:rPr>
          <w:rFonts w:cs="宋体" w:hint="eastAsia"/>
          <w:color w:val="000000"/>
          <w:sz w:val="21"/>
          <w:szCs w:val="24"/>
        </w:rPr>
        <w:t>X</w:t>
      </w:r>
      <w:r w:rsidR="00910745">
        <w:rPr>
          <w:rFonts w:cs="宋体"/>
          <w:color w:val="000000"/>
          <w:sz w:val="21"/>
          <w:szCs w:val="24"/>
        </w:rPr>
        <w:t>XX</w:t>
      </w:r>
      <w:r w:rsidR="00910745" w:rsidRPr="00910745">
        <w:rPr>
          <w:rFonts w:cs="宋体" w:hint="eastAsia"/>
          <w:color w:val="000000"/>
          <w:sz w:val="21"/>
          <w:szCs w:val="24"/>
        </w:rPr>
        <w:t>项目生态</w:t>
      </w:r>
      <w:r w:rsidR="00910745">
        <w:rPr>
          <w:rFonts w:cs="宋体" w:hint="eastAsia"/>
          <w:color w:val="000000"/>
          <w:sz w:val="21"/>
          <w:szCs w:val="24"/>
        </w:rPr>
        <w:t>社区自评</w:t>
      </w:r>
      <w:r w:rsidR="00910745" w:rsidRPr="00910745">
        <w:rPr>
          <w:rFonts w:cs="宋体" w:hint="eastAsia"/>
          <w:color w:val="000000"/>
          <w:sz w:val="21"/>
          <w:szCs w:val="24"/>
        </w:rPr>
        <w:t>得分表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90"/>
        <w:gridCol w:w="890"/>
        <w:gridCol w:w="890"/>
        <w:gridCol w:w="889"/>
        <w:gridCol w:w="889"/>
        <w:gridCol w:w="889"/>
        <w:gridCol w:w="889"/>
        <w:gridCol w:w="977"/>
      </w:tblGrid>
      <w:tr w:rsidR="00910745" w:rsidRPr="00910745" w14:paraId="71408BC5" w14:textId="77777777" w:rsidTr="00B80412">
        <w:tc>
          <w:tcPr>
            <w:tcW w:w="658" w:type="pct"/>
            <w:shd w:val="clear" w:color="auto" w:fill="D9D9D9"/>
            <w:vAlign w:val="center"/>
          </w:tcPr>
          <w:p w14:paraId="34A40C23" w14:textId="77777777"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类别</w:t>
            </w:r>
          </w:p>
        </w:tc>
        <w:tc>
          <w:tcPr>
            <w:tcW w:w="536" w:type="pct"/>
            <w:shd w:val="clear" w:color="auto" w:fill="D9D9D9"/>
            <w:vAlign w:val="center"/>
          </w:tcPr>
          <w:p w14:paraId="792E73AC" w14:textId="77777777" w:rsidR="00B80412" w:rsidRDefault="00910745" w:rsidP="00910745">
            <w:pPr>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绿色</w:t>
            </w:r>
          </w:p>
          <w:p w14:paraId="049DEC65" w14:textId="411FB9FA" w:rsidR="00910745" w:rsidRPr="00910745" w:rsidRDefault="00910745" w:rsidP="00910745">
            <w:pPr>
              <w:spacing w:line="240" w:lineRule="auto"/>
              <w:ind w:firstLineChars="0" w:firstLine="0"/>
              <w:jc w:val="center"/>
              <w:rPr>
                <w:rFonts w:cs="Times New Roman"/>
                <w:sz w:val="21"/>
              </w:rPr>
            </w:pPr>
            <w:r w:rsidRPr="00737AB2">
              <w:rPr>
                <w:rFonts w:ascii="宋体" w:hAnsi="宋体" w:cs="宋体" w:hint="eastAsia"/>
                <w:color w:val="000000"/>
                <w:kern w:val="0"/>
                <w:sz w:val="22"/>
              </w:rPr>
              <w:t>空间</w:t>
            </w:r>
          </w:p>
        </w:tc>
        <w:tc>
          <w:tcPr>
            <w:tcW w:w="536" w:type="pct"/>
            <w:shd w:val="clear" w:color="auto" w:fill="D9D9D9"/>
            <w:vAlign w:val="center"/>
          </w:tcPr>
          <w:p w14:paraId="68891A9A" w14:textId="77777777" w:rsidR="00B80412" w:rsidRDefault="00910745" w:rsidP="00910745">
            <w:pPr>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绿色</w:t>
            </w:r>
          </w:p>
          <w:p w14:paraId="5EA1CAA6" w14:textId="3CDC3FD1" w:rsidR="00910745" w:rsidRPr="00910745" w:rsidRDefault="00910745" w:rsidP="00910745">
            <w:pPr>
              <w:spacing w:line="240" w:lineRule="auto"/>
              <w:ind w:firstLineChars="0" w:firstLine="0"/>
              <w:jc w:val="center"/>
              <w:rPr>
                <w:rFonts w:cs="Times New Roman"/>
                <w:sz w:val="21"/>
              </w:rPr>
            </w:pPr>
            <w:r w:rsidRPr="00737AB2">
              <w:rPr>
                <w:rFonts w:ascii="宋体" w:hAnsi="宋体" w:cs="宋体" w:hint="eastAsia"/>
                <w:color w:val="000000"/>
                <w:kern w:val="0"/>
                <w:sz w:val="22"/>
              </w:rPr>
              <w:t>环境</w:t>
            </w:r>
          </w:p>
        </w:tc>
        <w:tc>
          <w:tcPr>
            <w:tcW w:w="536" w:type="pct"/>
            <w:shd w:val="clear" w:color="auto" w:fill="D9D9D9"/>
            <w:vAlign w:val="center"/>
          </w:tcPr>
          <w:p w14:paraId="0109337E" w14:textId="77777777" w:rsidR="00B80412" w:rsidRDefault="00910745" w:rsidP="00910745">
            <w:pPr>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资源</w:t>
            </w:r>
          </w:p>
          <w:p w14:paraId="08B1906A" w14:textId="6ECE7270" w:rsidR="00910745" w:rsidRPr="00910745" w:rsidRDefault="00910745" w:rsidP="00910745">
            <w:pPr>
              <w:spacing w:line="240" w:lineRule="auto"/>
              <w:ind w:firstLineChars="0" w:firstLine="0"/>
              <w:jc w:val="center"/>
              <w:rPr>
                <w:rFonts w:cs="Times New Roman"/>
                <w:sz w:val="21"/>
              </w:rPr>
            </w:pPr>
            <w:r w:rsidRPr="00737AB2">
              <w:rPr>
                <w:rFonts w:ascii="宋体" w:hAnsi="宋体" w:cs="宋体" w:hint="eastAsia"/>
                <w:color w:val="000000"/>
                <w:kern w:val="0"/>
                <w:sz w:val="22"/>
              </w:rPr>
              <w:t>循环</w:t>
            </w:r>
          </w:p>
        </w:tc>
        <w:tc>
          <w:tcPr>
            <w:tcW w:w="536" w:type="pct"/>
            <w:shd w:val="clear" w:color="auto" w:fill="D9D9D9"/>
            <w:vAlign w:val="center"/>
          </w:tcPr>
          <w:p w14:paraId="4EF204E3" w14:textId="77777777" w:rsidR="00B80412" w:rsidRDefault="00910745" w:rsidP="00910745">
            <w:pPr>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绿色</w:t>
            </w:r>
          </w:p>
          <w:p w14:paraId="1EFDF81E" w14:textId="5909258A" w:rsidR="00910745" w:rsidRPr="00910745" w:rsidRDefault="00910745" w:rsidP="00910745">
            <w:pPr>
              <w:spacing w:line="240" w:lineRule="auto"/>
              <w:ind w:firstLineChars="0" w:firstLine="0"/>
              <w:jc w:val="center"/>
              <w:rPr>
                <w:rFonts w:cs="Times New Roman"/>
                <w:sz w:val="21"/>
              </w:rPr>
            </w:pPr>
            <w:r w:rsidRPr="00737AB2">
              <w:rPr>
                <w:rFonts w:ascii="宋体" w:hAnsi="宋体" w:cs="宋体" w:hint="eastAsia"/>
                <w:color w:val="000000"/>
                <w:kern w:val="0"/>
                <w:sz w:val="22"/>
              </w:rPr>
              <w:t>交通</w:t>
            </w:r>
          </w:p>
        </w:tc>
        <w:tc>
          <w:tcPr>
            <w:tcW w:w="536" w:type="pct"/>
            <w:shd w:val="clear" w:color="auto" w:fill="D9D9D9"/>
            <w:vAlign w:val="center"/>
          </w:tcPr>
          <w:p w14:paraId="14DB6E36" w14:textId="77777777" w:rsidR="00B80412" w:rsidRDefault="00910745" w:rsidP="00910745">
            <w:pPr>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绿色</w:t>
            </w:r>
          </w:p>
          <w:p w14:paraId="5F8D4546" w14:textId="35B25108" w:rsidR="00910745" w:rsidRPr="00910745" w:rsidRDefault="00910745" w:rsidP="00910745">
            <w:pPr>
              <w:spacing w:line="240" w:lineRule="auto"/>
              <w:ind w:firstLineChars="0" w:firstLine="0"/>
              <w:jc w:val="center"/>
              <w:rPr>
                <w:rFonts w:cs="Times New Roman"/>
                <w:sz w:val="21"/>
              </w:rPr>
            </w:pPr>
            <w:r w:rsidRPr="00737AB2">
              <w:rPr>
                <w:rFonts w:ascii="宋体" w:hAnsi="宋体" w:cs="宋体" w:hint="eastAsia"/>
                <w:color w:val="000000"/>
                <w:kern w:val="0"/>
                <w:sz w:val="22"/>
              </w:rPr>
              <w:t>建筑</w:t>
            </w:r>
          </w:p>
        </w:tc>
        <w:tc>
          <w:tcPr>
            <w:tcW w:w="536" w:type="pct"/>
            <w:shd w:val="clear" w:color="auto" w:fill="D9D9D9"/>
            <w:vAlign w:val="center"/>
          </w:tcPr>
          <w:p w14:paraId="781CFDF4" w14:textId="77777777" w:rsidR="00B80412" w:rsidRDefault="00910745" w:rsidP="00910745">
            <w:pPr>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绿色</w:t>
            </w:r>
          </w:p>
          <w:p w14:paraId="36B10CBB" w14:textId="0618951C" w:rsidR="00910745" w:rsidRPr="00910745" w:rsidRDefault="00910745" w:rsidP="00910745">
            <w:pPr>
              <w:spacing w:line="240" w:lineRule="auto"/>
              <w:ind w:firstLineChars="0" w:firstLine="0"/>
              <w:jc w:val="center"/>
              <w:rPr>
                <w:rFonts w:cs="Times New Roman"/>
                <w:sz w:val="21"/>
              </w:rPr>
            </w:pPr>
            <w:r w:rsidRPr="00737AB2">
              <w:rPr>
                <w:rFonts w:ascii="宋体" w:hAnsi="宋体" w:cs="宋体" w:hint="eastAsia"/>
                <w:color w:val="000000"/>
                <w:kern w:val="0"/>
                <w:sz w:val="22"/>
              </w:rPr>
              <w:t>人文</w:t>
            </w:r>
          </w:p>
        </w:tc>
        <w:tc>
          <w:tcPr>
            <w:tcW w:w="536" w:type="pct"/>
            <w:shd w:val="clear" w:color="auto" w:fill="D9D9D9"/>
            <w:vAlign w:val="center"/>
          </w:tcPr>
          <w:p w14:paraId="41422EA9" w14:textId="1EF1FBD8" w:rsidR="00910745" w:rsidRPr="00910745" w:rsidRDefault="00910745" w:rsidP="00910745">
            <w:pPr>
              <w:spacing w:line="240" w:lineRule="auto"/>
              <w:ind w:firstLineChars="0" w:firstLine="0"/>
              <w:jc w:val="center"/>
              <w:rPr>
                <w:rFonts w:cs="Times New Roman"/>
                <w:sz w:val="21"/>
              </w:rPr>
            </w:pPr>
            <w:r w:rsidRPr="00737AB2">
              <w:rPr>
                <w:rFonts w:ascii="宋体" w:hAnsi="宋体" w:cs="宋体" w:hint="eastAsia"/>
                <w:color w:val="000000"/>
                <w:kern w:val="0"/>
                <w:sz w:val="22"/>
              </w:rPr>
              <w:t>优选项</w:t>
            </w:r>
          </w:p>
        </w:tc>
        <w:tc>
          <w:tcPr>
            <w:tcW w:w="589" w:type="pct"/>
            <w:shd w:val="clear" w:color="auto" w:fill="D9D9D9"/>
            <w:vAlign w:val="center"/>
          </w:tcPr>
          <w:p w14:paraId="263242FC" w14:textId="77777777"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合计</w:t>
            </w:r>
          </w:p>
        </w:tc>
      </w:tr>
      <w:tr w:rsidR="00910745" w:rsidRPr="00910745" w14:paraId="39366E1D" w14:textId="77777777" w:rsidTr="00B80412">
        <w:tc>
          <w:tcPr>
            <w:tcW w:w="658" w:type="pct"/>
            <w:shd w:val="clear" w:color="auto" w:fill="auto"/>
            <w:vAlign w:val="center"/>
          </w:tcPr>
          <w:p w14:paraId="543EF6AE" w14:textId="77777777"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评价项</w:t>
            </w:r>
          </w:p>
        </w:tc>
        <w:tc>
          <w:tcPr>
            <w:tcW w:w="536" w:type="pct"/>
            <w:shd w:val="clear" w:color="auto" w:fill="auto"/>
            <w:vAlign w:val="center"/>
          </w:tcPr>
          <w:p w14:paraId="0E8A63A1" w14:textId="2B814A68" w:rsidR="00910745" w:rsidRPr="00910745" w:rsidRDefault="00910745" w:rsidP="00910745">
            <w:pPr>
              <w:spacing w:line="240" w:lineRule="auto"/>
              <w:ind w:firstLineChars="0" w:firstLine="0"/>
              <w:jc w:val="center"/>
              <w:rPr>
                <w:rFonts w:cs="Times New Roman"/>
                <w:sz w:val="21"/>
              </w:rPr>
            </w:pPr>
            <w:r>
              <w:rPr>
                <w:rFonts w:ascii="TimesNewRomanPSMT" w:hAnsi="TimesNewRomanPSMT" w:cs="TimesNewRomanPSMT"/>
                <w:sz w:val="21"/>
              </w:rPr>
              <w:t>6</w:t>
            </w:r>
            <w:r w:rsidRPr="00910745">
              <w:rPr>
                <w:rFonts w:cs="Times New Roman" w:hint="eastAsia"/>
                <w:sz w:val="21"/>
              </w:rPr>
              <w:t>项</w:t>
            </w:r>
          </w:p>
        </w:tc>
        <w:tc>
          <w:tcPr>
            <w:tcW w:w="536" w:type="pct"/>
            <w:shd w:val="clear" w:color="auto" w:fill="auto"/>
            <w:vAlign w:val="center"/>
          </w:tcPr>
          <w:p w14:paraId="6E1CD8F9" w14:textId="7CDC0C2B" w:rsidR="00910745" w:rsidRPr="00910745" w:rsidRDefault="00B80412" w:rsidP="00910745">
            <w:pPr>
              <w:spacing w:line="240" w:lineRule="auto"/>
              <w:ind w:firstLineChars="0" w:firstLine="0"/>
              <w:jc w:val="center"/>
              <w:rPr>
                <w:rFonts w:cs="Times New Roman"/>
                <w:sz w:val="21"/>
              </w:rPr>
            </w:pPr>
            <w:r>
              <w:rPr>
                <w:rFonts w:ascii="TimesNewRomanPSMT" w:hAnsi="TimesNewRomanPSMT" w:cs="TimesNewRomanPSMT"/>
                <w:sz w:val="21"/>
              </w:rPr>
              <w:t>8</w:t>
            </w:r>
            <w:r w:rsidR="00910745" w:rsidRPr="00910745">
              <w:rPr>
                <w:rFonts w:cs="Times New Roman" w:hint="eastAsia"/>
                <w:sz w:val="21"/>
              </w:rPr>
              <w:t>项</w:t>
            </w:r>
          </w:p>
        </w:tc>
        <w:tc>
          <w:tcPr>
            <w:tcW w:w="536" w:type="pct"/>
            <w:shd w:val="clear" w:color="auto" w:fill="auto"/>
            <w:vAlign w:val="center"/>
          </w:tcPr>
          <w:p w14:paraId="63BCBF37" w14:textId="77777777" w:rsidR="00910745" w:rsidRPr="00910745" w:rsidRDefault="00910745" w:rsidP="00910745">
            <w:pPr>
              <w:spacing w:line="240" w:lineRule="auto"/>
              <w:ind w:firstLineChars="0" w:firstLine="0"/>
              <w:jc w:val="center"/>
              <w:rPr>
                <w:rFonts w:cs="Times New Roman"/>
                <w:sz w:val="21"/>
              </w:rPr>
            </w:pPr>
            <w:r w:rsidRPr="00910745">
              <w:rPr>
                <w:rFonts w:ascii="TimesNewRomanPSMT" w:hAnsi="TimesNewRomanPSMT" w:cs="TimesNewRomanPSMT"/>
                <w:sz w:val="21"/>
              </w:rPr>
              <w:t>6</w:t>
            </w:r>
            <w:r w:rsidRPr="00910745">
              <w:rPr>
                <w:rFonts w:cs="Times New Roman" w:hint="eastAsia"/>
                <w:sz w:val="21"/>
              </w:rPr>
              <w:t>项</w:t>
            </w:r>
          </w:p>
        </w:tc>
        <w:tc>
          <w:tcPr>
            <w:tcW w:w="536" w:type="pct"/>
            <w:shd w:val="clear" w:color="auto" w:fill="auto"/>
            <w:vAlign w:val="center"/>
          </w:tcPr>
          <w:p w14:paraId="5B009D6F" w14:textId="2C4858FE" w:rsidR="00910745" w:rsidRPr="00910745" w:rsidRDefault="00B80412" w:rsidP="00910745">
            <w:pPr>
              <w:spacing w:line="240" w:lineRule="auto"/>
              <w:ind w:firstLineChars="0" w:firstLine="0"/>
              <w:jc w:val="center"/>
              <w:rPr>
                <w:rFonts w:cs="Times New Roman"/>
                <w:sz w:val="21"/>
              </w:rPr>
            </w:pPr>
            <w:r>
              <w:rPr>
                <w:rFonts w:ascii="TimesNewRomanPSMT" w:hAnsi="TimesNewRomanPSMT" w:cs="TimesNewRomanPSMT"/>
                <w:sz w:val="21"/>
              </w:rPr>
              <w:t>5</w:t>
            </w:r>
            <w:r w:rsidR="00910745" w:rsidRPr="00910745">
              <w:rPr>
                <w:rFonts w:cs="Times New Roman" w:hint="eastAsia"/>
                <w:sz w:val="21"/>
              </w:rPr>
              <w:t>项</w:t>
            </w:r>
          </w:p>
        </w:tc>
        <w:tc>
          <w:tcPr>
            <w:tcW w:w="536" w:type="pct"/>
            <w:shd w:val="clear" w:color="auto" w:fill="auto"/>
            <w:vAlign w:val="center"/>
          </w:tcPr>
          <w:p w14:paraId="41A4A036" w14:textId="2B922C25" w:rsidR="00910745" w:rsidRPr="00910745" w:rsidRDefault="00B80412" w:rsidP="00910745">
            <w:pPr>
              <w:spacing w:line="240" w:lineRule="auto"/>
              <w:ind w:firstLineChars="0" w:firstLine="0"/>
              <w:jc w:val="center"/>
              <w:rPr>
                <w:rFonts w:cs="Times New Roman"/>
                <w:sz w:val="21"/>
              </w:rPr>
            </w:pPr>
            <w:r>
              <w:rPr>
                <w:rFonts w:ascii="TimesNewRomanPSMT" w:hAnsi="TimesNewRomanPSMT" w:cs="TimesNewRomanPSMT"/>
                <w:sz w:val="21"/>
              </w:rPr>
              <w:t>5</w:t>
            </w:r>
            <w:r w:rsidR="00910745" w:rsidRPr="00910745">
              <w:rPr>
                <w:rFonts w:cs="Times New Roman" w:hint="eastAsia"/>
                <w:sz w:val="21"/>
              </w:rPr>
              <w:t>项</w:t>
            </w:r>
          </w:p>
        </w:tc>
        <w:tc>
          <w:tcPr>
            <w:tcW w:w="536" w:type="pct"/>
            <w:shd w:val="clear" w:color="auto" w:fill="auto"/>
            <w:vAlign w:val="center"/>
          </w:tcPr>
          <w:p w14:paraId="63A31F3E" w14:textId="48EF589D" w:rsidR="00910745" w:rsidRPr="00910745" w:rsidRDefault="00B80412" w:rsidP="00910745">
            <w:pPr>
              <w:spacing w:line="240" w:lineRule="auto"/>
              <w:ind w:firstLineChars="0" w:firstLine="0"/>
              <w:jc w:val="center"/>
              <w:rPr>
                <w:rFonts w:cs="Times New Roman"/>
                <w:sz w:val="21"/>
              </w:rPr>
            </w:pPr>
            <w:r>
              <w:rPr>
                <w:rFonts w:ascii="TimesNewRomanPSMT" w:hAnsi="TimesNewRomanPSMT" w:cs="TimesNewRomanPSMT"/>
                <w:sz w:val="21"/>
              </w:rPr>
              <w:t>5</w:t>
            </w:r>
            <w:r w:rsidR="00910745" w:rsidRPr="00910745">
              <w:rPr>
                <w:rFonts w:cs="Times New Roman" w:hint="eastAsia"/>
                <w:sz w:val="21"/>
              </w:rPr>
              <w:t>项</w:t>
            </w:r>
          </w:p>
        </w:tc>
        <w:tc>
          <w:tcPr>
            <w:tcW w:w="536" w:type="pct"/>
            <w:shd w:val="clear" w:color="auto" w:fill="auto"/>
            <w:vAlign w:val="center"/>
          </w:tcPr>
          <w:p w14:paraId="03F26F62" w14:textId="502D03D2" w:rsidR="00910745" w:rsidRPr="00910745" w:rsidRDefault="00B80412" w:rsidP="00910745">
            <w:pPr>
              <w:spacing w:line="240" w:lineRule="auto"/>
              <w:ind w:firstLineChars="0" w:firstLine="0"/>
              <w:jc w:val="center"/>
              <w:rPr>
                <w:rFonts w:cs="Times New Roman"/>
                <w:sz w:val="21"/>
              </w:rPr>
            </w:pPr>
            <w:r>
              <w:rPr>
                <w:rFonts w:ascii="TimesNewRomanPSMT" w:hAnsi="TimesNewRomanPSMT" w:cs="TimesNewRomanPSMT"/>
                <w:sz w:val="21"/>
              </w:rPr>
              <w:t>4</w:t>
            </w:r>
            <w:r w:rsidR="00910745" w:rsidRPr="00910745">
              <w:rPr>
                <w:rFonts w:cs="Times New Roman" w:hint="eastAsia"/>
                <w:sz w:val="21"/>
              </w:rPr>
              <w:t>项</w:t>
            </w:r>
          </w:p>
        </w:tc>
        <w:tc>
          <w:tcPr>
            <w:tcW w:w="589" w:type="pct"/>
            <w:shd w:val="clear" w:color="auto" w:fill="auto"/>
            <w:vAlign w:val="center"/>
          </w:tcPr>
          <w:p w14:paraId="6C48A031" w14:textId="77777777" w:rsidR="00910745" w:rsidRPr="00910745" w:rsidRDefault="00910745" w:rsidP="00910745">
            <w:pPr>
              <w:spacing w:line="240" w:lineRule="auto"/>
              <w:ind w:firstLineChars="0" w:firstLine="0"/>
              <w:jc w:val="center"/>
              <w:rPr>
                <w:rFonts w:cs="Times New Roman"/>
                <w:sz w:val="21"/>
              </w:rPr>
            </w:pPr>
            <w:r w:rsidRPr="00910745">
              <w:rPr>
                <w:rFonts w:cs="Times New Roman"/>
                <w:sz w:val="21"/>
              </w:rPr>
              <w:t>54</w:t>
            </w:r>
            <w:r w:rsidRPr="00910745">
              <w:rPr>
                <w:rFonts w:cs="Times New Roman" w:hint="eastAsia"/>
                <w:sz w:val="21"/>
              </w:rPr>
              <w:t>项</w:t>
            </w:r>
          </w:p>
        </w:tc>
      </w:tr>
      <w:tr w:rsidR="00910745" w:rsidRPr="00910745" w14:paraId="088BDCA9" w14:textId="77777777" w:rsidTr="00B80412">
        <w:tc>
          <w:tcPr>
            <w:tcW w:w="658" w:type="pct"/>
            <w:shd w:val="clear" w:color="auto" w:fill="auto"/>
            <w:vAlign w:val="center"/>
          </w:tcPr>
          <w:p w14:paraId="782B212E" w14:textId="77777777"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评价</w:t>
            </w:r>
          </w:p>
          <w:p w14:paraId="29A4C8F7" w14:textId="77777777"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总得分</w:t>
            </w:r>
          </w:p>
        </w:tc>
        <w:tc>
          <w:tcPr>
            <w:tcW w:w="536" w:type="pct"/>
            <w:shd w:val="clear" w:color="auto" w:fill="auto"/>
            <w:vAlign w:val="center"/>
          </w:tcPr>
          <w:p w14:paraId="31BE6AE5" w14:textId="3E583189"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2</w:t>
            </w:r>
            <w:r w:rsidR="00B80412">
              <w:rPr>
                <w:rFonts w:cs="Times New Roman"/>
                <w:sz w:val="21"/>
              </w:rPr>
              <w:t>0</w:t>
            </w:r>
          </w:p>
        </w:tc>
        <w:tc>
          <w:tcPr>
            <w:tcW w:w="536" w:type="pct"/>
            <w:shd w:val="clear" w:color="auto" w:fill="auto"/>
            <w:vAlign w:val="center"/>
          </w:tcPr>
          <w:p w14:paraId="7117B1C0" w14:textId="6FA3E402"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2</w:t>
            </w:r>
            <w:r w:rsidR="00B80412">
              <w:rPr>
                <w:rFonts w:cs="Times New Roman"/>
                <w:sz w:val="21"/>
              </w:rPr>
              <w:t>5</w:t>
            </w:r>
          </w:p>
        </w:tc>
        <w:tc>
          <w:tcPr>
            <w:tcW w:w="536" w:type="pct"/>
            <w:shd w:val="clear" w:color="auto" w:fill="auto"/>
            <w:vAlign w:val="center"/>
          </w:tcPr>
          <w:p w14:paraId="350AF56E" w14:textId="4E79580B"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2</w:t>
            </w:r>
            <w:r w:rsidR="00B80412">
              <w:rPr>
                <w:rFonts w:cs="Times New Roman"/>
                <w:sz w:val="21"/>
              </w:rPr>
              <w:t>0</w:t>
            </w:r>
          </w:p>
        </w:tc>
        <w:tc>
          <w:tcPr>
            <w:tcW w:w="536" w:type="pct"/>
            <w:shd w:val="clear" w:color="auto" w:fill="auto"/>
            <w:vAlign w:val="center"/>
          </w:tcPr>
          <w:p w14:paraId="00765F59" w14:textId="38CAD494" w:rsidR="00910745" w:rsidRPr="00910745" w:rsidRDefault="00B80412" w:rsidP="00910745">
            <w:pPr>
              <w:spacing w:line="240" w:lineRule="auto"/>
              <w:ind w:firstLineChars="0" w:firstLine="0"/>
              <w:jc w:val="center"/>
              <w:rPr>
                <w:rFonts w:cs="Times New Roman"/>
                <w:sz w:val="21"/>
              </w:rPr>
            </w:pPr>
            <w:r>
              <w:rPr>
                <w:rFonts w:cs="Times New Roman"/>
                <w:sz w:val="21"/>
              </w:rPr>
              <w:t>13</w:t>
            </w:r>
          </w:p>
        </w:tc>
        <w:tc>
          <w:tcPr>
            <w:tcW w:w="536" w:type="pct"/>
            <w:shd w:val="clear" w:color="auto" w:fill="auto"/>
            <w:vAlign w:val="center"/>
          </w:tcPr>
          <w:p w14:paraId="58347966" w14:textId="12558349" w:rsidR="00910745" w:rsidRPr="00910745" w:rsidRDefault="00B80412" w:rsidP="00910745">
            <w:pPr>
              <w:spacing w:line="240" w:lineRule="auto"/>
              <w:ind w:firstLineChars="0" w:firstLine="0"/>
              <w:jc w:val="center"/>
              <w:rPr>
                <w:rFonts w:cs="Times New Roman"/>
                <w:sz w:val="21"/>
              </w:rPr>
            </w:pPr>
            <w:r>
              <w:rPr>
                <w:rFonts w:cs="Times New Roman"/>
                <w:sz w:val="21"/>
              </w:rPr>
              <w:t>1</w:t>
            </w:r>
            <w:r w:rsidR="001D1EB5">
              <w:rPr>
                <w:rFonts w:cs="Times New Roman"/>
                <w:sz w:val="21"/>
              </w:rPr>
              <w:t>1</w:t>
            </w:r>
          </w:p>
        </w:tc>
        <w:tc>
          <w:tcPr>
            <w:tcW w:w="536" w:type="pct"/>
            <w:shd w:val="clear" w:color="auto" w:fill="auto"/>
            <w:vAlign w:val="center"/>
          </w:tcPr>
          <w:p w14:paraId="7022345D" w14:textId="051A5B34" w:rsidR="00910745" w:rsidRPr="00910745" w:rsidRDefault="00B80412" w:rsidP="00910745">
            <w:pPr>
              <w:spacing w:line="240" w:lineRule="auto"/>
              <w:ind w:firstLineChars="0" w:firstLine="0"/>
              <w:jc w:val="center"/>
              <w:rPr>
                <w:rFonts w:cs="Times New Roman"/>
                <w:sz w:val="21"/>
              </w:rPr>
            </w:pPr>
            <w:r>
              <w:rPr>
                <w:rFonts w:cs="Times New Roman"/>
                <w:sz w:val="21"/>
              </w:rPr>
              <w:t>11</w:t>
            </w:r>
          </w:p>
        </w:tc>
        <w:tc>
          <w:tcPr>
            <w:tcW w:w="536" w:type="pct"/>
            <w:shd w:val="clear" w:color="auto" w:fill="auto"/>
            <w:vAlign w:val="center"/>
          </w:tcPr>
          <w:p w14:paraId="6B3FD82E" w14:textId="70687239" w:rsidR="00910745" w:rsidRPr="00910745" w:rsidRDefault="00B80412" w:rsidP="00910745">
            <w:pPr>
              <w:spacing w:line="240" w:lineRule="auto"/>
              <w:ind w:firstLineChars="0" w:firstLine="0"/>
              <w:jc w:val="center"/>
              <w:rPr>
                <w:rFonts w:cs="Times New Roman"/>
                <w:sz w:val="21"/>
              </w:rPr>
            </w:pPr>
            <w:r>
              <w:rPr>
                <w:rFonts w:cs="Times New Roman"/>
                <w:sz w:val="21"/>
              </w:rPr>
              <w:t>5</w:t>
            </w:r>
          </w:p>
        </w:tc>
        <w:tc>
          <w:tcPr>
            <w:tcW w:w="589" w:type="pct"/>
            <w:shd w:val="clear" w:color="auto" w:fill="auto"/>
            <w:vAlign w:val="center"/>
          </w:tcPr>
          <w:p w14:paraId="64A0D157" w14:textId="3B751F5E" w:rsidR="00910745" w:rsidRPr="00910745" w:rsidRDefault="00910745" w:rsidP="00910745">
            <w:pPr>
              <w:spacing w:line="240" w:lineRule="auto"/>
              <w:ind w:firstLineChars="0" w:firstLine="0"/>
              <w:jc w:val="center"/>
              <w:rPr>
                <w:rFonts w:cs="Times New Roman"/>
                <w:sz w:val="21"/>
              </w:rPr>
            </w:pPr>
            <w:r w:rsidRPr="00910745">
              <w:rPr>
                <w:rFonts w:cs="Times New Roman"/>
                <w:sz w:val="21"/>
              </w:rPr>
              <w:t>1</w:t>
            </w:r>
            <w:r w:rsidR="001D1EB5">
              <w:rPr>
                <w:rFonts w:cs="Times New Roman"/>
                <w:sz w:val="21"/>
              </w:rPr>
              <w:t>05</w:t>
            </w:r>
          </w:p>
        </w:tc>
      </w:tr>
      <w:tr w:rsidR="00910745" w:rsidRPr="00910745" w14:paraId="51A25100" w14:textId="77777777" w:rsidTr="00B80412">
        <w:tc>
          <w:tcPr>
            <w:tcW w:w="658" w:type="pct"/>
            <w:shd w:val="clear" w:color="auto" w:fill="D9D9D9"/>
            <w:vAlign w:val="center"/>
          </w:tcPr>
          <w:p w14:paraId="789D0201" w14:textId="77777777" w:rsidR="00910745" w:rsidRPr="00910745" w:rsidRDefault="00910745" w:rsidP="00910745">
            <w:pPr>
              <w:spacing w:line="240" w:lineRule="auto"/>
              <w:ind w:firstLineChars="0" w:firstLine="0"/>
              <w:jc w:val="center"/>
              <w:rPr>
                <w:rFonts w:cs="Times New Roman"/>
                <w:sz w:val="21"/>
              </w:rPr>
            </w:pPr>
            <w:r w:rsidRPr="00910745">
              <w:rPr>
                <w:rFonts w:cs="Times New Roman" w:hint="eastAsia"/>
                <w:sz w:val="21"/>
              </w:rPr>
              <w:t>自评估分项得分</w:t>
            </w:r>
          </w:p>
        </w:tc>
        <w:tc>
          <w:tcPr>
            <w:tcW w:w="536" w:type="pct"/>
            <w:shd w:val="clear" w:color="auto" w:fill="D9D9D9"/>
            <w:vAlign w:val="center"/>
          </w:tcPr>
          <w:p w14:paraId="3A62CC8F" w14:textId="6E7647DA" w:rsidR="00910745" w:rsidRPr="00910745" w:rsidRDefault="00910745" w:rsidP="00910745">
            <w:pPr>
              <w:spacing w:line="240" w:lineRule="auto"/>
              <w:ind w:firstLineChars="0" w:firstLine="0"/>
              <w:jc w:val="center"/>
              <w:rPr>
                <w:rFonts w:cs="Times New Roman"/>
                <w:sz w:val="21"/>
              </w:rPr>
            </w:pPr>
          </w:p>
        </w:tc>
        <w:tc>
          <w:tcPr>
            <w:tcW w:w="536" w:type="pct"/>
            <w:shd w:val="clear" w:color="auto" w:fill="D9D9D9"/>
            <w:vAlign w:val="center"/>
          </w:tcPr>
          <w:p w14:paraId="7B4E6EE0" w14:textId="26ED08C5" w:rsidR="00910745" w:rsidRPr="00910745" w:rsidRDefault="00910745" w:rsidP="00910745">
            <w:pPr>
              <w:spacing w:line="240" w:lineRule="auto"/>
              <w:ind w:firstLineChars="0" w:firstLine="0"/>
              <w:jc w:val="center"/>
              <w:rPr>
                <w:rFonts w:cs="Times New Roman"/>
                <w:sz w:val="21"/>
              </w:rPr>
            </w:pPr>
          </w:p>
        </w:tc>
        <w:tc>
          <w:tcPr>
            <w:tcW w:w="536" w:type="pct"/>
            <w:shd w:val="clear" w:color="auto" w:fill="D9D9D9"/>
            <w:vAlign w:val="center"/>
          </w:tcPr>
          <w:p w14:paraId="0B007AEB" w14:textId="1B159B21" w:rsidR="00910745" w:rsidRPr="00910745" w:rsidRDefault="00910745" w:rsidP="00910745">
            <w:pPr>
              <w:spacing w:line="240" w:lineRule="auto"/>
              <w:ind w:firstLineChars="0" w:firstLine="0"/>
              <w:jc w:val="center"/>
              <w:rPr>
                <w:rFonts w:cs="Times New Roman"/>
                <w:sz w:val="21"/>
              </w:rPr>
            </w:pPr>
          </w:p>
        </w:tc>
        <w:tc>
          <w:tcPr>
            <w:tcW w:w="536" w:type="pct"/>
            <w:shd w:val="clear" w:color="auto" w:fill="D9D9D9"/>
            <w:vAlign w:val="center"/>
          </w:tcPr>
          <w:p w14:paraId="2C784072" w14:textId="55A7A299" w:rsidR="00910745" w:rsidRPr="00910745" w:rsidRDefault="00910745" w:rsidP="00910745">
            <w:pPr>
              <w:spacing w:line="240" w:lineRule="auto"/>
              <w:ind w:firstLineChars="0" w:firstLine="0"/>
              <w:jc w:val="center"/>
              <w:rPr>
                <w:rFonts w:cs="Times New Roman"/>
                <w:sz w:val="21"/>
              </w:rPr>
            </w:pPr>
          </w:p>
        </w:tc>
        <w:tc>
          <w:tcPr>
            <w:tcW w:w="536" w:type="pct"/>
            <w:shd w:val="clear" w:color="auto" w:fill="D9D9D9"/>
            <w:vAlign w:val="center"/>
          </w:tcPr>
          <w:p w14:paraId="1C4D1C4C" w14:textId="7D0C2300" w:rsidR="00910745" w:rsidRPr="00910745" w:rsidRDefault="00910745" w:rsidP="00910745">
            <w:pPr>
              <w:spacing w:line="240" w:lineRule="auto"/>
              <w:ind w:firstLineChars="0" w:firstLine="0"/>
              <w:jc w:val="center"/>
              <w:rPr>
                <w:rFonts w:cs="Times New Roman"/>
                <w:sz w:val="21"/>
              </w:rPr>
            </w:pPr>
          </w:p>
        </w:tc>
        <w:tc>
          <w:tcPr>
            <w:tcW w:w="536" w:type="pct"/>
            <w:shd w:val="clear" w:color="auto" w:fill="D9D9D9"/>
            <w:vAlign w:val="center"/>
          </w:tcPr>
          <w:p w14:paraId="55436301" w14:textId="4A320C3B" w:rsidR="00910745" w:rsidRPr="00910745" w:rsidRDefault="00910745" w:rsidP="00910745">
            <w:pPr>
              <w:spacing w:line="240" w:lineRule="auto"/>
              <w:ind w:firstLineChars="0" w:firstLine="0"/>
              <w:jc w:val="center"/>
              <w:rPr>
                <w:rFonts w:cs="Times New Roman"/>
                <w:sz w:val="21"/>
              </w:rPr>
            </w:pPr>
          </w:p>
        </w:tc>
        <w:tc>
          <w:tcPr>
            <w:tcW w:w="536" w:type="pct"/>
            <w:shd w:val="clear" w:color="auto" w:fill="D9D9D9"/>
            <w:vAlign w:val="center"/>
          </w:tcPr>
          <w:p w14:paraId="1539FD93" w14:textId="3F5C122D" w:rsidR="00910745" w:rsidRPr="00910745" w:rsidRDefault="00910745" w:rsidP="00910745">
            <w:pPr>
              <w:spacing w:line="240" w:lineRule="auto"/>
              <w:ind w:firstLineChars="0" w:firstLine="0"/>
              <w:jc w:val="center"/>
              <w:rPr>
                <w:rFonts w:cs="Times New Roman"/>
                <w:sz w:val="21"/>
              </w:rPr>
            </w:pPr>
          </w:p>
        </w:tc>
        <w:tc>
          <w:tcPr>
            <w:tcW w:w="589" w:type="pct"/>
            <w:shd w:val="clear" w:color="auto" w:fill="D9D9D9"/>
            <w:vAlign w:val="center"/>
          </w:tcPr>
          <w:p w14:paraId="5D063168" w14:textId="42E3FC8A" w:rsidR="00910745" w:rsidRPr="00910745" w:rsidRDefault="00910745" w:rsidP="00910745">
            <w:pPr>
              <w:spacing w:line="240" w:lineRule="auto"/>
              <w:ind w:firstLineChars="0" w:firstLine="0"/>
              <w:jc w:val="center"/>
              <w:rPr>
                <w:rFonts w:cs="Times New Roman"/>
                <w:sz w:val="21"/>
              </w:rPr>
            </w:pPr>
          </w:p>
        </w:tc>
      </w:tr>
    </w:tbl>
    <w:p w14:paraId="35690AFA" w14:textId="77777777" w:rsidR="00910745" w:rsidRPr="00910745" w:rsidRDefault="00910745" w:rsidP="00A97809">
      <w:pPr>
        <w:pStyle w:val="1"/>
      </w:pPr>
      <w:bookmarkStart w:id="2" w:name="_Toc422407171"/>
      <w:r w:rsidRPr="00910745">
        <w:t>二、</w:t>
      </w:r>
      <w:r w:rsidRPr="00910745">
        <w:rPr>
          <w:rFonts w:hint="eastAsia"/>
        </w:rPr>
        <w:t>项目效果图</w:t>
      </w:r>
      <w:bookmarkEnd w:id="2"/>
    </w:p>
    <w:p w14:paraId="6EB8DE0F" w14:textId="7DE455B3" w:rsidR="00A97809" w:rsidRDefault="00A97809" w:rsidP="00B21432">
      <w:pPr>
        <w:ind w:firstLine="480"/>
        <w:rPr>
          <w:shd w:val="clear" w:color="auto" w:fill="FFFFFF"/>
        </w:rPr>
      </w:pPr>
      <w:r>
        <w:rPr>
          <w:shd w:val="clear" w:color="auto" w:fill="FFFFFF"/>
        </w:rPr>
        <w:br w:type="page"/>
      </w:r>
    </w:p>
    <w:p w14:paraId="3BB8B68E" w14:textId="2C28131C" w:rsidR="00910745" w:rsidRPr="00A97809" w:rsidRDefault="00A97809" w:rsidP="00A97809">
      <w:pPr>
        <w:pStyle w:val="1"/>
      </w:pPr>
      <w:r w:rsidRPr="00A97809">
        <w:rPr>
          <w:rFonts w:hint="eastAsia"/>
        </w:rPr>
        <w:lastRenderedPageBreak/>
        <w:t>三、自评内容</w:t>
      </w:r>
    </w:p>
    <w:p w14:paraId="1871EBD2" w14:textId="24E74F67" w:rsidR="00A97809" w:rsidRDefault="00A97809" w:rsidP="00DA5514">
      <w:pPr>
        <w:pStyle w:val="2"/>
      </w:pPr>
      <w:r>
        <w:rPr>
          <w:rFonts w:hint="eastAsia"/>
        </w:rPr>
        <w:t>4</w:t>
      </w:r>
      <w:r>
        <w:rPr>
          <w:rFonts w:hint="eastAsia"/>
        </w:rPr>
        <w:t>、</w:t>
      </w:r>
      <w:r w:rsidRPr="00737AB2">
        <w:rPr>
          <w:rFonts w:hint="eastAsia"/>
        </w:rPr>
        <w:t>绿色空间</w:t>
      </w:r>
    </w:p>
    <w:tbl>
      <w:tblPr>
        <w:tblW w:w="5000" w:type="pct"/>
        <w:tblLook w:val="04A0" w:firstRow="1" w:lastRow="0" w:firstColumn="1" w:lastColumn="0" w:noHBand="0" w:noVBand="1"/>
      </w:tblPr>
      <w:tblGrid>
        <w:gridCol w:w="717"/>
        <w:gridCol w:w="876"/>
        <w:gridCol w:w="1475"/>
        <w:gridCol w:w="1316"/>
        <w:gridCol w:w="1133"/>
        <w:gridCol w:w="695"/>
        <w:gridCol w:w="695"/>
        <w:gridCol w:w="695"/>
        <w:gridCol w:w="694"/>
      </w:tblGrid>
      <w:tr w:rsidR="00A97809" w:rsidRPr="00737AB2" w14:paraId="59BE87CD" w14:textId="77777777" w:rsidTr="00505AEA">
        <w:trPr>
          <w:trHeight w:val="472"/>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8D915" w14:textId="77777777" w:rsidR="00A97809" w:rsidRPr="00737AB2" w:rsidRDefault="00A97809"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指标类别</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160CBFDE" w14:textId="77777777" w:rsidR="00A97809" w:rsidRPr="00737AB2" w:rsidRDefault="00A97809"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编码</w:t>
            </w:r>
          </w:p>
        </w:tc>
        <w:tc>
          <w:tcPr>
            <w:tcW w:w="889" w:type="pct"/>
            <w:tcBorders>
              <w:top w:val="single" w:sz="4" w:space="0" w:color="auto"/>
              <w:left w:val="nil"/>
              <w:bottom w:val="single" w:sz="4" w:space="0" w:color="auto"/>
              <w:right w:val="single" w:sz="4" w:space="0" w:color="auto"/>
            </w:tcBorders>
            <w:shd w:val="clear" w:color="auto" w:fill="auto"/>
            <w:vAlign w:val="center"/>
            <w:hideMark/>
          </w:tcPr>
          <w:p w14:paraId="022954D6" w14:textId="77777777" w:rsidR="00A97809" w:rsidRPr="00737AB2" w:rsidRDefault="00A97809"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评价类别</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06A8372A" w14:textId="77777777" w:rsidR="00A97809" w:rsidRPr="00737AB2" w:rsidRDefault="00A97809"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评价内容</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E58FA2F" w14:textId="77777777" w:rsidR="00A97809" w:rsidRPr="00737AB2" w:rsidRDefault="00A97809"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评价档次</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3682C930" w14:textId="05BF2600" w:rsidR="00A97809" w:rsidRPr="00737AB2" w:rsidRDefault="00915C9A" w:rsidP="00C66291">
            <w:pPr>
              <w:widowControl/>
              <w:spacing w:line="240" w:lineRule="auto"/>
              <w:ind w:firstLineChars="0" w:firstLine="0"/>
              <w:jc w:val="center"/>
              <w:rPr>
                <w:rFonts w:ascii="宋体" w:hAnsi="宋体" w:cs="宋体"/>
                <w:b/>
                <w:bCs/>
                <w:color w:val="000000"/>
                <w:kern w:val="0"/>
                <w:sz w:val="22"/>
              </w:rPr>
            </w:pPr>
            <w:r>
              <w:rPr>
                <w:rFonts w:ascii="宋体" w:hAnsi="宋体" w:cs="宋体" w:hint="eastAsia"/>
                <w:b/>
                <w:bCs/>
                <w:color w:val="000000"/>
                <w:kern w:val="0"/>
                <w:sz w:val="22"/>
              </w:rPr>
              <w:t>自</w:t>
            </w:r>
            <w:r w:rsidR="00A97809" w:rsidRPr="00737AB2">
              <w:rPr>
                <w:rFonts w:ascii="宋体" w:hAnsi="宋体" w:cs="宋体" w:hint="eastAsia"/>
                <w:b/>
                <w:bCs/>
                <w:color w:val="000000"/>
                <w:kern w:val="0"/>
                <w:sz w:val="22"/>
              </w:rPr>
              <w:t>评分</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526D0530" w14:textId="11217737" w:rsidR="00A97809" w:rsidRPr="00737AB2" w:rsidRDefault="00915C9A" w:rsidP="00C66291">
            <w:pPr>
              <w:widowControl/>
              <w:spacing w:line="240" w:lineRule="auto"/>
              <w:ind w:firstLineChars="0" w:firstLine="0"/>
              <w:jc w:val="center"/>
              <w:rPr>
                <w:rFonts w:ascii="宋体" w:hAnsi="宋体" w:cs="宋体"/>
                <w:b/>
                <w:bCs/>
                <w:color w:val="000000"/>
                <w:kern w:val="0"/>
                <w:sz w:val="22"/>
              </w:rPr>
            </w:pPr>
            <w:r>
              <w:rPr>
                <w:rFonts w:ascii="宋体" w:hAnsi="宋体" w:cs="宋体" w:hint="eastAsia"/>
                <w:b/>
                <w:bCs/>
                <w:color w:val="000000"/>
                <w:kern w:val="0"/>
                <w:sz w:val="22"/>
              </w:rPr>
              <w:t>自评</w:t>
            </w:r>
            <w:r w:rsidR="00A97809" w:rsidRPr="00737AB2">
              <w:rPr>
                <w:rFonts w:ascii="宋体" w:hAnsi="宋体" w:cs="宋体" w:hint="eastAsia"/>
                <w:b/>
                <w:bCs/>
                <w:color w:val="000000"/>
                <w:kern w:val="0"/>
                <w:sz w:val="22"/>
              </w:rPr>
              <w:t>得分</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3B6CD89B" w14:textId="77777777" w:rsidR="00A97809" w:rsidRPr="00737AB2" w:rsidRDefault="00A97809"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备注</w:t>
            </w:r>
          </w:p>
        </w:tc>
      </w:tr>
      <w:tr w:rsidR="00A97809" w:rsidRPr="00737AB2" w14:paraId="0F65AED6" w14:textId="77777777" w:rsidTr="00DA5514">
        <w:trPr>
          <w:trHeight w:val="649"/>
        </w:trPr>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14:paraId="7D6CA6F9" w14:textId="77777777" w:rsidR="00A97809" w:rsidRPr="00737AB2" w:rsidRDefault="00A97809"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绿色空间</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4C4EA70D"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4.1</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006B7CA9"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社区优先选址在已开发地区或已开发地区的邻近区域，周边设施便捷可达</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369A1831"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选址区域具备基本市政基础设施条件或规划提供市政基础服务</w:t>
            </w:r>
          </w:p>
        </w:tc>
        <w:tc>
          <w:tcPr>
            <w:tcW w:w="419" w:type="pct"/>
            <w:tcBorders>
              <w:top w:val="nil"/>
              <w:left w:val="nil"/>
              <w:bottom w:val="single" w:sz="4" w:space="0" w:color="auto"/>
              <w:right w:val="single" w:sz="4" w:space="0" w:color="auto"/>
            </w:tcBorders>
            <w:shd w:val="clear" w:color="auto" w:fill="auto"/>
            <w:vAlign w:val="center"/>
            <w:hideMark/>
          </w:tcPr>
          <w:p w14:paraId="509EDD80"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9A46AA9"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339CDC91"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23C6743B"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A97809" w:rsidRPr="00737AB2" w14:paraId="02864820" w14:textId="77777777" w:rsidTr="00DA5514">
        <w:trPr>
          <w:trHeight w:val="57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4AF11272"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14:paraId="1D5D7CED"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268E5DF3"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3EB7028D"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社区选址靠近已建成或规划建设的公共交通覆盖区域</w:t>
            </w:r>
          </w:p>
        </w:tc>
        <w:tc>
          <w:tcPr>
            <w:tcW w:w="419" w:type="pct"/>
            <w:tcBorders>
              <w:top w:val="nil"/>
              <w:left w:val="nil"/>
              <w:bottom w:val="single" w:sz="4" w:space="0" w:color="auto"/>
              <w:right w:val="single" w:sz="4" w:space="0" w:color="auto"/>
            </w:tcBorders>
            <w:shd w:val="clear" w:color="auto" w:fill="auto"/>
            <w:vAlign w:val="center"/>
            <w:hideMark/>
          </w:tcPr>
          <w:p w14:paraId="0DE9BBCF"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5AD6ACD8"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78B1C098"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56367729"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3EBFF02C" w14:textId="77777777" w:rsidTr="00DA5514">
        <w:trPr>
          <w:trHeight w:val="57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74899A23"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14:paraId="5DEB187E"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1F177A35"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62B81453"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社区选址临近文化、教育、体育、卫生、福利等公共服务设施</w:t>
            </w:r>
          </w:p>
        </w:tc>
        <w:tc>
          <w:tcPr>
            <w:tcW w:w="419" w:type="pct"/>
            <w:tcBorders>
              <w:top w:val="nil"/>
              <w:left w:val="nil"/>
              <w:bottom w:val="single" w:sz="4" w:space="0" w:color="auto"/>
              <w:right w:val="single" w:sz="4" w:space="0" w:color="auto"/>
            </w:tcBorders>
            <w:shd w:val="clear" w:color="auto" w:fill="auto"/>
            <w:vAlign w:val="center"/>
            <w:hideMark/>
          </w:tcPr>
          <w:p w14:paraId="4AF0A285"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C97B783"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3367E559"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33D6491F"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1C8B4EFD" w14:textId="77777777" w:rsidTr="00DA5514">
        <w:trPr>
          <w:trHeight w:val="57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646D8D84"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59DAF05F"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4.2</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3F444A2C"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选择具有再开发潜力的用地进行社区建设</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39DE55C6"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对城市中老化的社区和危旧房进行改造、再开发</w:t>
            </w:r>
          </w:p>
        </w:tc>
        <w:tc>
          <w:tcPr>
            <w:tcW w:w="419" w:type="pct"/>
            <w:tcBorders>
              <w:top w:val="nil"/>
              <w:left w:val="nil"/>
              <w:bottom w:val="single" w:sz="4" w:space="0" w:color="auto"/>
              <w:right w:val="single" w:sz="4" w:space="0" w:color="auto"/>
            </w:tcBorders>
            <w:shd w:val="clear" w:color="auto" w:fill="auto"/>
            <w:vAlign w:val="center"/>
            <w:hideMark/>
          </w:tcPr>
          <w:p w14:paraId="218D53F7"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45DAE5B3"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79AADBFD"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2AC6828E"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A97809" w:rsidRPr="00737AB2" w14:paraId="734ECF03" w14:textId="77777777" w:rsidTr="00DA5514">
        <w:trPr>
          <w:trHeight w:val="949"/>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27620BBD"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7769249A"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17AE2B13"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0FB72696"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对城市废弃地进行改良、再利用，开发前进行污染治理和环境修复，保证场地再利用的安全性</w:t>
            </w:r>
          </w:p>
        </w:tc>
        <w:tc>
          <w:tcPr>
            <w:tcW w:w="419" w:type="pct"/>
            <w:tcBorders>
              <w:top w:val="nil"/>
              <w:left w:val="nil"/>
              <w:bottom w:val="single" w:sz="4" w:space="0" w:color="auto"/>
              <w:right w:val="single" w:sz="4" w:space="0" w:color="auto"/>
            </w:tcBorders>
            <w:shd w:val="clear" w:color="auto" w:fill="auto"/>
            <w:vAlign w:val="center"/>
            <w:hideMark/>
          </w:tcPr>
          <w:p w14:paraId="00500231"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1870C009"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3883CF85"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33BCF6A4"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3EA0D445" w14:textId="77777777" w:rsidTr="00DA5514">
        <w:trPr>
          <w:trHeight w:val="57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31689356"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13E91DCA"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4.3</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71289629"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社区用地及周边的自然生态环境得到保护</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3D15A38C"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规划设计因地制宜，与周围生态环境建立有机共生关系</w:t>
            </w:r>
          </w:p>
        </w:tc>
        <w:tc>
          <w:tcPr>
            <w:tcW w:w="419" w:type="pct"/>
            <w:tcBorders>
              <w:top w:val="nil"/>
              <w:left w:val="nil"/>
              <w:bottom w:val="single" w:sz="4" w:space="0" w:color="auto"/>
              <w:right w:val="single" w:sz="4" w:space="0" w:color="auto"/>
            </w:tcBorders>
            <w:shd w:val="clear" w:color="auto" w:fill="auto"/>
            <w:vAlign w:val="center"/>
            <w:hideMark/>
          </w:tcPr>
          <w:p w14:paraId="0230070F"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078B6BB9"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0AB03E34"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264EF885"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A97809" w:rsidRPr="00737AB2" w14:paraId="2A759205" w14:textId="77777777" w:rsidTr="00DA5514">
        <w:trPr>
          <w:trHeight w:val="156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3AFC38BA"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7919135B"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52087774"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29DB7E79"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保持和利用原有地形、地貌和水体水系，开发建设时注意控制对原有场地形态的搅动。若社区用地中包含湿地或水系，设法保证湿地净损失为零，河道驳岸为生态型而非硬砌型</w:t>
            </w:r>
          </w:p>
        </w:tc>
        <w:tc>
          <w:tcPr>
            <w:tcW w:w="419" w:type="pct"/>
            <w:tcBorders>
              <w:top w:val="nil"/>
              <w:left w:val="nil"/>
              <w:bottom w:val="single" w:sz="4" w:space="0" w:color="auto"/>
              <w:right w:val="single" w:sz="4" w:space="0" w:color="auto"/>
            </w:tcBorders>
            <w:shd w:val="clear" w:color="auto" w:fill="auto"/>
            <w:vAlign w:val="center"/>
            <w:hideMark/>
          </w:tcPr>
          <w:p w14:paraId="648FBFEC"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79C2A403"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3B1AFAC8"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15138F85"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2E3625DF" w14:textId="77777777" w:rsidTr="00DA5514">
        <w:trPr>
          <w:trHeight w:val="60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7B6FA633"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0547F14F"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4.4</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34012410"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结合地形、场地条件进行小尺度街区设计</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14:paraId="2AD154C7"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社区内居住、商办和混合用地中面积不大于</w:t>
            </w:r>
            <w:r w:rsidRPr="00737AB2">
              <w:rPr>
                <w:rFonts w:ascii="Calibri" w:hAnsi="Calibri" w:cs="Calibri"/>
                <w:color w:val="000000"/>
                <w:kern w:val="0"/>
                <w:sz w:val="22"/>
              </w:rPr>
              <w:t>2.0</w:t>
            </w:r>
            <w:r w:rsidRPr="00737AB2">
              <w:rPr>
                <w:rFonts w:ascii="宋体" w:hAnsi="宋体" w:cs="宋体" w:hint="eastAsia"/>
                <w:color w:val="000000"/>
                <w:kern w:val="0"/>
                <w:sz w:val="22"/>
              </w:rPr>
              <w:t>公顷的地块数量占地块总量的比例</w:t>
            </w:r>
          </w:p>
        </w:tc>
        <w:tc>
          <w:tcPr>
            <w:tcW w:w="683" w:type="pct"/>
            <w:tcBorders>
              <w:top w:val="nil"/>
              <w:left w:val="nil"/>
              <w:bottom w:val="single" w:sz="4" w:space="0" w:color="auto"/>
              <w:right w:val="single" w:sz="4" w:space="0" w:color="auto"/>
            </w:tcBorders>
            <w:shd w:val="clear" w:color="auto" w:fill="auto"/>
            <w:vAlign w:val="center"/>
            <w:hideMark/>
          </w:tcPr>
          <w:p w14:paraId="3BAE1D67"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w:t>
            </w:r>
            <w:r w:rsidRPr="00737AB2">
              <w:rPr>
                <w:rFonts w:ascii="Calibri" w:hAnsi="Calibri" w:cs="Calibri"/>
                <w:color w:val="000000"/>
                <w:kern w:val="0"/>
                <w:sz w:val="22"/>
              </w:rPr>
              <w:t>60%</w:t>
            </w:r>
          </w:p>
        </w:tc>
        <w:tc>
          <w:tcPr>
            <w:tcW w:w="419" w:type="pct"/>
            <w:tcBorders>
              <w:top w:val="nil"/>
              <w:left w:val="nil"/>
              <w:bottom w:val="single" w:sz="4" w:space="0" w:color="auto"/>
              <w:right w:val="single" w:sz="4" w:space="0" w:color="auto"/>
            </w:tcBorders>
            <w:shd w:val="clear" w:color="auto" w:fill="auto"/>
            <w:vAlign w:val="center"/>
            <w:hideMark/>
          </w:tcPr>
          <w:p w14:paraId="21AABA5B"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DBC08E8"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21AE6993"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3B14F635"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A97809" w:rsidRPr="00737AB2" w14:paraId="6008B171" w14:textId="77777777" w:rsidTr="00DA5514">
        <w:trPr>
          <w:trHeight w:val="60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6E57B4F3"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35C5BF6C"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7E4D507F"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793" w:type="pct"/>
            <w:vMerge/>
            <w:tcBorders>
              <w:top w:val="nil"/>
              <w:left w:val="single" w:sz="4" w:space="0" w:color="auto"/>
              <w:bottom w:val="single" w:sz="4" w:space="0" w:color="auto"/>
              <w:right w:val="single" w:sz="4" w:space="0" w:color="auto"/>
            </w:tcBorders>
            <w:shd w:val="clear" w:color="auto" w:fill="auto"/>
            <w:vAlign w:val="center"/>
            <w:hideMark/>
          </w:tcPr>
          <w:p w14:paraId="7716162A"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683" w:type="pct"/>
            <w:tcBorders>
              <w:top w:val="nil"/>
              <w:left w:val="nil"/>
              <w:bottom w:val="single" w:sz="4" w:space="0" w:color="auto"/>
              <w:right w:val="single" w:sz="4" w:space="0" w:color="auto"/>
            </w:tcBorders>
            <w:shd w:val="clear" w:color="auto" w:fill="auto"/>
            <w:vAlign w:val="center"/>
            <w:hideMark/>
          </w:tcPr>
          <w:p w14:paraId="255D372E"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w:t>
            </w:r>
            <w:r w:rsidRPr="00737AB2">
              <w:rPr>
                <w:rFonts w:ascii="Calibri" w:hAnsi="Calibri" w:cs="Calibri"/>
                <w:color w:val="000000"/>
                <w:kern w:val="0"/>
                <w:sz w:val="22"/>
              </w:rPr>
              <w:t>70%</w:t>
            </w:r>
          </w:p>
        </w:tc>
        <w:tc>
          <w:tcPr>
            <w:tcW w:w="419" w:type="pct"/>
            <w:tcBorders>
              <w:top w:val="nil"/>
              <w:left w:val="nil"/>
              <w:bottom w:val="single" w:sz="4" w:space="0" w:color="auto"/>
              <w:right w:val="single" w:sz="4" w:space="0" w:color="auto"/>
            </w:tcBorders>
            <w:shd w:val="clear" w:color="auto" w:fill="auto"/>
            <w:vAlign w:val="center"/>
            <w:hideMark/>
          </w:tcPr>
          <w:p w14:paraId="041AA52C"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0D3F4B13"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502FD352"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55CACC33"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173BF0E5" w14:textId="77777777" w:rsidTr="00DA5514">
        <w:trPr>
          <w:trHeight w:val="915"/>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488C31FD"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45668D01"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0A3C2DE4"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41B94517"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地块紧邻生活性道路一侧时，底层建筑界面控制线退让道路红线距离</w:t>
            </w:r>
            <w:r w:rsidRPr="00737AB2">
              <w:rPr>
                <w:rFonts w:ascii="宋体" w:hAnsi="宋体" w:cs="宋体" w:hint="eastAsia"/>
                <w:color w:val="000000"/>
                <w:kern w:val="0"/>
                <w:sz w:val="22"/>
              </w:rPr>
              <w:lastRenderedPageBreak/>
              <w:t>不大于10m，且建筑贴线率不小于70%</w:t>
            </w:r>
          </w:p>
        </w:tc>
        <w:tc>
          <w:tcPr>
            <w:tcW w:w="419" w:type="pct"/>
            <w:tcBorders>
              <w:top w:val="nil"/>
              <w:left w:val="nil"/>
              <w:bottom w:val="single" w:sz="4" w:space="0" w:color="auto"/>
              <w:right w:val="single" w:sz="4" w:space="0" w:color="auto"/>
            </w:tcBorders>
            <w:shd w:val="clear" w:color="auto" w:fill="auto"/>
            <w:vAlign w:val="center"/>
            <w:hideMark/>
          </w:tcPr>
          <w:p w14:paraId="7B9C6535"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lastRenderedPageBreak/>
              <w:t>1</w:t>
            </w:r>
          </w:p>
        </w:tc>
        <w:tc>
          <w:tcPr>
            <w:tcW w:w="419" w:type="pct"/>
            <w:tcBorders>
              <w:top w:val="nil"/>
              <w:left w:val="nil"/>
              <w:bottom w:val="single" w:sz="4" w:space="0" w:color="auto"/>
              <w:right w:val="single" w:sz="4" w:space="0" w:color="auto"/>
            </w:tcBorders>
            <w:shd w:val="clear" w:color="auto" w:fill="auto"/>
            <w:vAlign w:val="center"/>
            <w:hideMark/>
          </w:tcPr>
          <w:p w14:paraId="39E3AB00"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6E23E581"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72288324"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0A91F06B" w14:textId="77777777" w:rsidTr="00DA5514">
        <w:trPr>
          <w:trHeight w:val="1272"/>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71953B8F"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051AC9E6"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4.5</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6FC03439"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社区规划注重设置功能混合的街区</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3BA06D56"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合理规划每500米半径范围内包含居住用地、公共管理与公共服务设施用地、商业服务业设施用地等多种用地性质的混合用地。混合用地比例不小于60%</w:t>
            </w:r>
          </w:p>
        </w:tc>
        <w:tc>
          <w:tcPr>
            <w:tcW w:w="419" w:type="pct"/>
            <w:tcBorders>
              <w:top w:val="nil"/>
              <w:left w:val="nil"/>
              <w:bottom w:val="single" w:sz="4" w:space="0" w:color="auto"/>
              <w:right w:val="single" w:sz="4" w:space="0" w:color="auto"/>
            </w:tcBorders>
            <w:shd w:val="clear" w:color="auto" w:fill="auto"/>
            <w:vAlign w:val="center"/>
            <w:hideMark/>
          </w:tcPr>
          <w:p w14:paraId="148F552F"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59C3B6DA"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444AADAD"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7FF58F93"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A97809" w:rsidRPr="00737AB2" w14:paraId="4BB5DF72" w14:textId="77777777" w:rsidTr="00DA5514">
        <w:trPr>
          <w:trHeight w:val="1369"/>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1BC0EFA5"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53B65E50"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164D06F2"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24102A43"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鼓励地块垂直空间上兼容居住、商业、办公、公共服务等多种功能混合开发。社区内采用垂直混合开发模式的地块面积占社区建设用地面积的比例不小于50%</w:t>
            </w:r>
          </w:p>
        </w:tc>
        <w:tc>
          <w:tcPr>
            <w:tcW w:w="419" w:type="pct"/>
            <w:tcBorders>
              <w:top w:val="nil"/>
              <w:left w:val="nil"/>
              <w:bottom w:val="single" w:sz="4" w:space="0" w:color="auto"/>
              <w:right w:val="single" w:sz="4" w:space="0" w:color="auto"/>
            </w:tcBorders>
            <w:shd w:val="clear" w:color="auto" w:fill="auto"/>
            <w:vAlign w:val="center"/>
            <w:hideMark/>
          </w:tcPr>
          <w:p w14:paraId="1B321699"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B999F48"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7F8073BB"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7DE4C065"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30DCCD3F" w14:textId="77777777" w:rsidTr="00DA5514">
        <w:trPr>
          <w:trHeight w:val="60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1B4A02E4"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015D9C94"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7F4C92A2"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37A24BE3"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社区每</w:t>
            </w:r>
            <w:r w:rsidRPr="00737AB2">
              <w:rPr>
                <w:rFonts w:ascii="Calibri" w:hAnsi="Calibri" w:cs="Calibri"/>
                <w:color w:val="000000"/>
                <w:kern w:val="0"/>
                <w:sz w:val="22"/>
              </w:rPr>
              <w:t>500</w:t>
            </w:r>
            <w:r w:rsidRPr="00737AB2">
              <w:rPr>
                <w:rFonts w:ascii="宋体" w:hAnsi="宋体" w:cs="宋体" w:hint="eastAsia"/>
                <w:color w:val="000000"/>
                <w:kern w:val="0"/>
                <w:sz w:val="22"/>
              </w:rPr>
              <w:t>米半径范围内包含不少于</w:t>
            </w:r>
            <w:r w:rsidRPr="00737AB2">
              <w:rPr>
                <w:rFonts w:ascii="Calibri" w:hAnsi="Calibri" w:cs="Calibri"/>
                <w:color w:val="000000"/>
                <w:kern w:val="0"/>
                <w:sz w:val="22"/>
              </w:rPr>
              <w:t>6</w:t>
            </w:r>
            <w:r w:rsidRPr="00737AB2">
              <w:rPr>
                <w:rFonts w:ascii="宋体" w:hAnsi="宋体" w:cs="宋体" w:hint="eastAsia"/>
                <w:color w:val="000000"/>
                <w:kern w:val="0"/>
                <w:sz w:val="22"/>
              </w:rPr>
              <w:t>种社区公共设施</w:t>
            </w:r>
          </w:p>
        </w:tc>
        <w:tc>
          <w:tcPr>
            <w:tcW w:w="419" w:type="pct"/>
            <w:tcBorders>
              <w:top w:val="nil"/>
              <w:left w:val="nil"/>
              <w:bottom w:val="single" w:sz="4" w:space="0" w:color="auto"/>
              <w:right w:val="single" w:sz="4" w:space="0" w:color="auto"/>
            </w:tcBorders>
            <w:shd w:val="clear" w:color="auto" w:fill="auto"/>
            <w:vAlign w:val="center"/>
            <w:hideMark/>
          </w:tcPr>
          <w:p w14:paraId="68460C38"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24FA87E"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24FFD60C"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05C34FE6"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25D09418" w14:textId="77777777" w:rsidTr="00DA5514">
        <w:trPr>
          <w:trHeight w:val="63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21BAC78D"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158621A6"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55C5A456"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1A3E5894"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社区中的幼儿园和小学</w:t>
            </w:r>
            <w:r w:rsidRPr="00737AB2">
              <w:rPr>
                <w:rFonts w:ascii="Calibri" w:hAnsi="Calibri" w:cs="Calibri"/>
                <w:color w:val="000000"/>
                <w:kern w:val="0"/>
                <w:sz w:val="22"/>
              </w:rPr>
              <w:t>500</w:t>
            </w:r>
            <w:r w:rsidRPr="00737AB2">
              <w:rPr>
                <w:rFonts w:ascii="宋体" w:hAnsi="宋体" w:cs="宋体" w:hint="eastAsia"/>
                <w:color w:val="000000"/>
                <w:kern w:val="0"/>
                <w:sz w:val="22"/>
              </w:rPr>
              <w:t>米服务半径覆盖率达到</w:t>
            </w:r>
            <w:r w:rsidRPr="00737AB2">
              <w:rPr>
                <w:rFonts w:ascii="Calibri" w:hAnsi="Calibri" w:cs="Calibri"/>
                <w:color w:val="000000"/>
                <w:kern w:val="0"/>
                <w:sz w:val="22"/>
              </w:rPr>
              <w:t>100%</w:t>
            </w:r>
          </w:p>
        </w:tc>
        <w:tc>
          <w:tcPr>
            <w:tcW w:w="419" w:type="pct"/>
            <w:tcBorders>
              <w:top w:val="nil"/>
              <w:left w:val="nil"/>
              <w:bottom w:val="single" w:sz="4" w:space="0" w:color="auto"/>
              <w:right w:val="single" w:sz="4" w:space="0" w:color="auto"/>
            </w:tcBorders>
            <w:shd w:val="clear" w:color="auto" w:fill="auto"/>
            <w:vAlign w:val="center"/>
            <w:hideMark/>
          </w:tcPr>
          <w:p w14:paraId="64D8D75E"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DCB146D"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22DB8D4A"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5BC814BE"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A97809" w:rsidRPr="00737AB2" w14:paraId="750A4C0C" w14:textId="77777777" w:rsidTr="00DA5514">
        <w:trPr>
          <w:trHeight w:val="57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4DCE12BE"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75B1DB70"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4.6</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433C3E6A"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合理利用地下空间</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7933438B"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地下空间开发与地上建筑、停车场库、商业餐饮等功能紧密结合</w:t>
            </w:r>
          </w:p>
        </w:tc>
        <w:tc>
          <w:tcPr>
            <w:tcW w:w="419" w:type="pct"/>
            <w:tcBorders>
              <w:top w:val="nil"/>
              <w:left w:val="nil"/>
              <w:bottom w:val="single" w:sz="4" w:space="0" w:color="auto"/>
              <w:right w:val="single" w:sz="4" w:space="0" w:color="auto"/>
            </w:tcBorders>
            <w:shd w:val="clear" w:color="auto" w:fill="auto"/>
            <w:vAlign w:val="center"/>
            <w:hideMark/>
          </w:tcPr>
          <w:p w14:paraId="3EB31FEF"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8DCF826"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5028D253"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49199231"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A97809" w:rsidRPr="00737AB2" w14:paraId="2EAA6CCB" w14:textId="77777777" w:rsidTr="00DA5514">
        <w:trPr>
          <w:trHeight w:val="570"/>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271457EE" w14:textId="77777777" w:rsidR="00A97809" w:rsidRPr="00737AB2" w:rsidRDefault="00A97809"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14:paraId="527E0AC5"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48700214"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0C0CA34B" w14:textId="77777777" w:rsidR="00A97809" w:rsidRPr="00737AB2" w:rsidRDefault="00A97809"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综合协调地下空间规划设计与市政设施的布局</w:t>
            </w:r>
          </w:p>
        </w:tc>
        <w:tc>
          <w:tcPr>
            <w:tcW w:w="419" w:type="pct"/>
            <w:tcBorders>
              <w:top w:val="nil"/>
              <w:left w:val="nil"/>
              <w:bottom w:val="single" w:sz="4" w:space="0" w:color="auto"/>
              <w:right w:val="single" w:sz="4" w:space="0" w:color="auto"/>
            </w:tcBorders>
            <w:shd w:val="clear" w:color="auto" w:fill="auto"/>
            <w:vAlign w:val="center"/>
            <w:hideMark/>
          </w:tcPr>
          <w:p w14:paraId="5BE1288B"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7DD5474" w14:textId="77777777" w:rsidR="00A97809" w:rsidRPr="00737AB2" w:rsidRDefault="00A97809"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auto"/>
              <w:right w:val="single" w:sz="4" w:space="0" w:color="auto"/>
            </w:tcBorders>
            <w:shd w:val="clear" w:color="auto" w:fill="auto"/>
            <w:vAlign w:val="center"/>
            <w:hideMark/>
          </w:tcPr>
          <w:p w14:paraId="30FDDEED"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auto"/>
              <w:right w:val="single" w:sz="4" w:space="0" w:color="auto"/>
            </w:tcBorders>
            <w:shd w:val="clear" w:color="auto" w:fill="auto"/>
            <w:vAlign w:val="center"/>
            <w:hideMark/>
          </w:tcPr>
          <w:p w14:paraId="165DFC72" w14:textId="77777777" w:rsidR="00A97809" w:rsidRPr="00737AB2" w:rsidRDefault="00A97809" w:rsidP="00C66291">
            <w:pPr>
              <w:widowControl/>
              <w:spacing w:line="240" w:lineRule="auto"/>
              <w:ind w:firstLineChars="0" w:firstLine="0"/>
              <w:jc w:val="left"/>
              <w:rPr>
                <w:rFonts w:ascii="宋体" w:hAnsi="宋体" w:cs="宋体"/>
                <w:color w:val="000000"/>
                <w:kern w:val="0"/>
                <w:sz w:val="22"/>
              </w:rPr>
            </w:pPr>
          </w:p>
        </w:tc>
      </w:tr>
      <w:tr w:rsidR="00915C9A" w:rsidRPr="00737AB2" w14:paraId="6577E8BE" w14:textId="77777777" w:rsidTr="00505AEA">
        <w:trPr>
          <w:trHeight w:val="56"/>
        </w:trPr>
        <w:tc>
          <w:tcPr>
            <w:tcW w:w="41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6258B2" w14:textId="10AB7CA4" w:rsidR="00915C9A" w:rsidRPr="00737AB2" w:rsidRDefault="00915C9A" w:rsidP="00C66291">
            <w:pPr>
              <w:widowControl/>
              <w:spacing w:line="240" w:lineRule="auto"/>
              <w:ind w:firstLineChars="0" w:firstLine="0"/>
              <w:jc w:val="center"/>
              <w:rPr>
                <w:rFonts w:ascii="宋体" w:hAnsi="宋体" w:cs="宋体" w:hint="eastAsia"/>
                <w:color w:val="000000"/>
                <w:kern w:val="0"/>
                <w:sz w:val="22"/>
              </w:rPr>
            </w:pPr>
            <w:r>
              <w:rPr>
                <w:rFonts w:ascii="宋体" w:hAnsi="宋体" w:cs="宋体" w:hint="eastAsia"/>
                <w:color w:val="000000"/>
                <w:kern w:val="0"/>
                <w:sz w:val="22"/>
              </w:rPr>
              <w:t>合计</w:t>
            </w:r>
          </w:p>
        </w:tc>
        <w:tc>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C3206" w14:textId="77777777" w:rsidR="00915C9A" w:rsidRPr="00737AB2" w:rsidRDefault="00915C9A" w:rsidP="00C66291">
            <w:pPr>
              <w:widowControl/>
              <w:spacing w:line="240" w:lineRule="auto"/>
              <w:ind w:firstLineChars="0" w:firstLine="0"/>
              <w:jc w:val="left"/>
              <w:rPr>
                <w:rFonts w:ascii="宋体" w:hAnsi="宋体" w:cs="宋体"/>
                <w:color w:val="000000"/>
                <w:kern w:val="0"/>
                <w:sz w:val="22"/>
              </w:rPr>
            </w:pPr>
          </w:p>
        </w:tc>
      </w:tr>
    </w:tbl>
    <w:p w14:paraId="58DDE122" w14:textId="571FE633" w:rsidR="00A97809" w:rsidRDefault="00915C9A" w:rsidP="00A97809">
      <w:pPr>
        <w:ind w:firstLine="480"/>
      </w:pPr>
      <w:r>
        <w:rPr>
          <w:rFonts w:hint="eastAsia"/>
        </w:rPr>
        <w:t>对每项进行</w:t>
      </w:r>
      <w:r w:rsidRPr="00915C9A">
        <w:rPr>
          <w:rFonts w:hint="eastAsia"/>
        </w:rPr>
        <w:t>自评得分</w:t>
      </w:r>
      <w:r>
        <w:rPr>
          <w:rFonts w:hint="eastAsia"/>
        </w:rPr>
        <w:t>、得分说明，提交证明材料，格式如下：</w:t>
      </w:r>
    </w:p>
    <w:p w14:paraId="6EA4885C" w14:textId="7DCF185A" w:rsidR="00915C9A" w:rsidRDefault="00915C9A" w:rsidP="00915C9A">
      <w:pPr>
        <w:ind w:firstLine="480"/>
      </w:pPr>
      <w:r>
        <w:rPr>
          <w:rFonts w:hint="eastAsia"/>
        </w:rPr>
        <w:t>4.1</w:t>
      </w:r>
      <w:r w:rsidRPr="00737AB2">
        <w:rPr>
          <w:rFonts w:hint="eastAsia"/>
        </w:rPr>
        <w:t>社区优先选址在已开发地区或已开发地区的邻近区域，周边设施便捷可达</w:t>
      </w:r>
      <w:r>
        <w:rPr>
          <w:rFonts w:hint="eastAsia"/>
        </w:rPr>
        <w:t>。</w:t>
      </w:r>
    </w:p>
    <w:p w14:paraId="0CE62F22" w14:textId="437A2442" w:rsidR="00915C9A" w:rsidRDefault="00915C9A" w:rsidP="00915C9A">
      <w:pPr>
        <w:ind w:firstLine="480"/>
      </w:pPr>
      <w:r>
        <w:t>1</w:t>
      </w:r>
      <w:r>
        <w:rPr>
          <w:rFonts w:hint="eastAsia"/>
        </w:rPr>
        <w:t>）</w:t>
      </w:r>
      <w:r w:rsidRPr="00915C9A">
        <w:rPr>
          <w:rFonts w:hint="eastAsia"/>
        </w:rPr>
        <w:t>自评得分</w:t>
      </w:r>
      <w:r>
        <w:rPr>
          <w:rFonts w:hint="eastAsia"/>
        </w:rPr>
        <w:t>：</w:t>
      </w:r>
    </w:p>
    <w:p w14:paraId="3FCDD1E4" w14:textId="74574369" w:rsidR="00915C9A" w:rsidRPr="00915C9A" w:rsidRDefault="00915C9A" w:rsidP="00915C9A">
      <w:pPr>
        <w:ind w:firstLine="480"/>
      </w:pPr>
      <w:r w:rsidRPr="00915C9A">
        <w:t>2</w:t>
      </w:r>
      <w:r w:rsidR="00DA5514">
        <w:rPr>
          <w:rFonts w:hint="eastAsia"/>
        </w:rPr>
        <w:t>）</w:t>
      </w:r>
      <w:r w:rsidRPr="00915C9A">
        <w:rPr>
          <w:rFonts w:hint="eastAsia"/>
        </w:rPr>
        <w:t>得分说明：简要说明得分原因</w:t>
      </w:r>
      <w:r w:rsidR="00DA5514">
        <w:rPr>
          <w:rFonts w:hint="eastAsia"/>
        </w:rPr>
        <w:t>，如有计算过程请说明计算过程。</w:t>
      </w:r>
    </w:p>
    <w:p w14:paraId="0A73D246" w14:textId="7AB4EBC4" w:rsidR="00915C9A" w:rsidRDefault="00915C9A" w:rsidP="00915C9A">
      <w:pPr>
        <w:ind w:firstLine="480"/>
      </w:pPr>
      <w:r w:rsidRPr="00915C9A">
        <w:t>3</w:t>
      </w:r>
      <w:r w:rsidR="00DA5514">
        <w:rPr>
          <w:rFonts w:hint="eastAsia"/>
        </w:rPr>
        <w:t>）</w:t>
      </w:r>
      <w:r w:rsidRPr="00915C9A">
        <w:rPr>
          <w:rFonts w:hint="eastAsia"/>
        </w:rPr>
        <w:t>证明材料：注明实际提交材料名称，标</w:t>
      </w:r>
      <w:r w:rsidR="00DA5514">
        <w:rPr>
          <w:rFonts w:hint="eastAsia"/>
        </w:rPr>
        <w:t>注</w:t>
      </w:r>
      <w:r w:rsidRPr="00915C9A">
        <w:rPr>
          <w:rFonts w:hint="eastAsia"/>
        </w:rPr>
        <w:t>清楚得分项在证明材料中的具体位置</w:t>
      </w:r>
      <w:r>
        <w:rPr>
          <w:rFonts w:hint="eastAsia"/>
        </w:rPr>
        <w:t>。</w:t>
      </w:r>
    </w:p>
    <w:p w14:paraId="13E5C52E" w14:textId="5E34E95D" w:rsidR="00915C9A" w:rsidRDefault="00915C9A" w:rsidP="00915C9A">
      <w:pPr>
        <w:ind w:firstLineChars="83" w:firstLine="199"/>
      </w:pPr>
      <w:r>
        <w:br w:type="page"/>
      </w:r>
    </w:p>
    <w:p w14:paraId="2EE973F2" w14:textId="524911E2" w:rsidR="00DA5514" w:rsidRPr="00DA5514" w:rsidRDefault="00DA5514" w:rsidP="00DA5514">
      <w:pPr>
        <w:pStyle w:val="2"/>
      </w:pPr>
      <w:r>
        <w:rPr>
          <w:rFonts w:hint="eastAsia"/>
        </w:rPr>
        <w:lastRenderedPageBreak/>
        <w:t>5</w:t>
      </w:r>
      <w:r>
        <w:rPr>
          <w:rFonts w:hint="eastAsia"/>
        </w:rPr>
        <w:t>、</w:t>
      </w:r>
      <w:r w:rsidRPr="00737AB2">
        <w:rPr>
          <w:rFonts w:hint="eastAsia"/>
        </w:rPr>
        <w:t>绿色环境</w:t>
      </w:r>
    </w:p>
    <w:tbl>
      <w:tblPr>
        <w:tblW w:w="5000" w:type="pct"/>
        <w:tblLook w:val="04A0" w:firstRow="1" w:lastRow="0" w:firstColumn="1" w:lastColumn="0" w:noHBand="0" w:noVBand="1"/>
      </w:tblPr>
      <w:tblGrid>
        <w:gridCol w:w="717"/>
        <w:gridCol w:w="876"/>
        <w:gridCol w:w="1475"/>
        <w:gridCol w:w="1316"/>
        <w:gridCol w:w="1133"/>
        <w:gridCol w:w="695"/>
        <w:gridCol w:w="695"/>
        <w:gridCol w:w="695"/>
        <w:gridCol w:w="694"/>
      </w:tblGrid>
      <w:tr w:rsidR="00DA5514" w:rsidRPr="00737AB2" w14:paraId="2B00F147" w14:textId="77777777" w:rsidTr="00DA5514">
        <w:trPr>
          <w:trHeight w:val="397"/>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A621D" w14:textId="77777777" w:rsidR="00DA5514" w:rsidRPr="00DA5514" w:rsidRDefault="00DA5514" w:rsidP="00C66291">
            <w:pPr>
              <w:widowControl/>
              <w:spacing w:line="240" w:lineRule="auto"/>
              <w:ind w:firstLineChars="0" w:firstLine="0"/>
              <w:jc w:val="center"/>
              <w:rPr>
                <w:rFonts w:ascii="宋体" w:hAnsi="宋体" w:cs="宋体"/>
                <w:b/>
                <w:bCs/>
                <w:color w:val="000000"/>
                <w:kern w:val="0"/>
                <w:sz w:val="22"/>
              </w:rPr>
            </w:pPr>
            <w:r w:rsidRPr="00DA5514">
              <w:rPr>
                <w:rFonts w:ascii="宋体" w:hAnsi="宋体" w:cs="宋体" w:hint="eastAsia"/>
                <w:b/>
                <w:bCs/>
                <w:color w:val="000000"/>
                <w:kern w:val="0"/>
                <w:sz w:val="22"/>
              </w:rPr>
              <w:t>指标类别</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2B8E5"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编码</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BF22C"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评价类别</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1D7658AE" w14:textId="77777777" w:rsidR="00DA5514" w:rsidRPr="00DA5514" w:rsidRDefault="00DA5514" w:rsidP="00DA5514">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评价内容</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6034C4C1"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评价档次</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636D0D22"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自评分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DB634"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自评得分</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3D576"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备注</w:t>
            </w:r>
          </w:p>
        </w:tc>
      </w:tr>
      <w:tr w:rsidR="00DA5514" w:rsidRPr="00737AB2" w14:paraId="28888036" w14:textId="77777777" w:rsidTr="00DA5514">
        <w:trPr>
          <w:trHeight w:val="330"/>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B25B7" w14:textId="77777777" w:rsidR="00DA5514" w:rsidRPr="00737AB2" w:rsidRDefault="00DA5514"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绿色环境</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2B45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5.1</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C9BA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绿化覆盖率大于社区总面积的35%；乔、灌、草合理搭配，植物配置丰实度高；提倡屋顶、阳台等立体绿化</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5ABB7AA1"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绿化覆盖率达到</w:t>
            </w:r>
            <w:r w:rsidRPr="00737AB2">
              <w:rPr>
                <w:rFonts w:ascii="Calibri" w:hAnsi="Calibri" w:cs="Calibri"/>
                <w:color w:val="000000"/>
                <w:kern w:val="0"/>
                <w:sz w:val="22"/>
              </w:rPr>
              <w:t>35%</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655C581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22AC4FE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16FA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A5891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158BBE0B" w14:textId="77777777" w:rsidTr="00DA5514">
        <w:trPr>
          <w:trHeight w:val="1830"/>
        </w:trPr>
        <w:tc>
          <w:tcPr>
            <w:tcW w:w="432" w:type="pct"/>
            <w:vMerge/>
            <w:tcBorders>
              <w:top w:val="nil"/>
              <w:left w:val="single" w:sz="4" w:space="0" w:color="auto"/>
              <w:bottom w:val="single" w:sz="4" w:space="0" w:color="auto"/>
              <w:right w:val="single" w:sz="4" w:space="0" w:color="auto"/>
            </w:tcBorders>
            <w:vAlign w:val="center"/>
            <w:hideMark/>
          </w:tcPr>
          <w:p w14:paraId="17AB5716"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233894B3"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4CAD693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33AA9383"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植物配置丰实度：乔木量≥</w:t>
            </w:r>
            <w:r w:rsidRPr="00737AB2">
              <w:rPr>
                <w:rFonts w:ascii="Calibri" w:hAnsi="Calibri" w:cs="Calibri"/>
                <w:color w:val="000000"/>
                <w:kern w:val="0"/>
                <w:sz w:val="22"/>
              </w:rPr>
              <w:t>3</w:t>
            </w:r>
            <w:r w:rsidRPr="00737AB2">
              <w:rPr>
                <w:rFonts w:ascii="宋体" w:hAnsi="宋体" w:cs="宋体" w:hint="eastAsia"/>
                <w:color w:val="000000"/>
                <w:kern w:val="0"/>
                <w:sz w:val="22"/>
              </w:rPr>
              <w:t>株</w:t>
            </w:r>
            <w:r w:rsidRPr="00737AB2">
              <w:rPr>
                <w:rFonts w:ascii="Calibri" w:hAnsi="Calibri" w:cs="Calibri"/>
                <w:color w:val="000000"/>
                <w:kern w:val="0"/>
                <w:sz w:val="22"/>
              </w:rPr>
              <w:t>/100</w:t>
            </w:r>
            <w:r w:rsidRPr="00737AB2">
              <w:rPr>
                <w:rFonts w:ascii="宋体" w:hAnsi="宋体" w:cs="宋体" w:hint="eastAsia"/>
                <w:color w:val="000000"/>
                <w:kern w:val="0"/>
                <w:sz w:val="22"/>
              </w:rPr>
              <w:t>㎡绿地，立体或复层种植植物群落占绿地面积≥</w:t>
            </w:r>
            <w:r w:rsidRPr="00737AB2">
              <w:rPr>
                <w:rFonts w:ascii="Calibri" w:hAnsi="Calibri" w:cs="Calibri"/>
                <w:color w:val="000000"/>
                <w:kern w:val="0"/>
                <w:sz w:val="22"/>
              </w:rPr>
              <w:t>20%</w:t>
            </w:r>
            <w:r w:rsidRPr="00737AB2">
              <w:rPr>
                <w:rFonts w:ascii="宋体" w:hAnsi="宋体" w:cs="宋体" w:hint="eastAsia"/>
                <w:color w:val="000000"/>
                <w:kern w:val="0"/>
                <w:sz w:val="22"/>
              </w:rPr>
              <w:t>，三北地区木本植物种类≥</w:t>
            </w:r>
            <w:r w:rsidRPr="00737AB2">
              <w:rPr>
                <w:rFonts w:ascii="Calibri" w:hAnsi="Calibri" w:cs="Calibri"/>
                <w:color w:val="000000"/>
                <w:kern w:val="0"/>
                <w:sz w:val="22"/>
              </w:rPr>
              <w:t>40</w:t>
            </w:r>
            <w:r w:rsidRPr="00737AB2">
              <w:rPr>
                <w:rFonts w:ascii="宋体" w:hAnsi="宋体" w:cs="宋体" w:hint="eastAsia"/>
                <w:color w:val="000000"/>
                <w:kern w:val="0"/>
                <w:sz w:val="22"/>
              </w:rPr>
              <w:t>种；华中、华东地区木本植物种类≥</w:t>
            </w:r>
            <w:r w:rsidRPr="00737AB2">
              <w:rPr>
                <w:rFonts w:ascii="Calibri" w:hAnsi="Calibri" w:cs="Calibri"/>
                <w:color w:val="000000"/>
                <w:kern w:val="0"/>
                <w:sz w:val="22"/>
              </w:rPr>
              <w:t>50</w:t>
            </w:r>
            <w:r w:rsidRPr="00737AB2">
              <w:rPr>
                <w:rFonts w:ascii="宋体" w:hAnsi="宋体" w:cs="宋体" w:hint="eastAsia"/>
                <w:color w:val="000000"/>
                <w:kern w:val="0"/>
                <w:sz w:val="22"/>
              </w:rPr>
              <w:t>种；华南、西南地区木本植物种类≥</w:t>
            </w:r>
            <w:r w:rsidRPr="00737AB2">
              <w:rPr>
                <w:rFonts w:ascii="Calibri" w:hAnsi="Calibri" w:cs="Calibri"/>
                <w:color w:val="000000"/>
                <w:kern w:val="0"/>
                <w:sz w:val="22"/>
              </w:rPr>
              <w:t>60</w:t>
            </w:r>
            <w:r w:rsidRPr="00737AB2">
              <w:rPr>
                <w:rFonts w:ascii="宋体" w:hAnsi="宋体" w:cs="宋体" w:hint="eastAsia"/>
                <w:color w:val="000000"/>
                <w:kern w:val="0"/>
                <w:sz w:val="22"/>
              </w:rPr>
              <w:t>种</w:t>
            </w:r>
          </w:p>
        </w:tc>
        <w:tc>
          <w:tcPr>
            <w:tcW w:w="419" w:type="pct"/>
            <w:tcBorders>
              <w:top w:val="nil"/>
              <w:left w:val="nil"/>
              <w:bottom w:val="single" w:sz="4" w:space="0" w:color="auto"/>
              <w:right w:val="single" w:sz="4" w:space="0" w:color="auto"/>
            </w:tcBorders>
            <w:shd w:val="clear" w:color="auto" w:fill="auto"/>
            <w:vAlign w:val="center"/>
            <w:hideMark/>
          </w:tcPr>
          <w:p w14:paraId="31E9E05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44FEB4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3900F64E"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74F5D22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0A084766" w14:textId="77777777" w:rsidTr="00DA5514">
        <w:trPr>
          <w:trHeight w:val="600"/>
        </w:trPr>
        <w:tc>
          <w:tcPr>
            <w:tcW w:w="432" w:type="pct"/>
            <w:vMerge/>
            <w:tcBorders>
              <w:top w:val="nil"/>
              <w:left w:val="single" w:sz="4" w:space="0" w:color="auto"/>
              <w:bottom w:val="single" w:sz="4" w:space="0" w:color="auto"/>
              <w:right w:val="single" w:sz="4" w:space="0" w:color="auto"/>
            </w:tcBorders>
            <w:vAlign w:val="center"/>
            <w:hideMark/>
          </w:tcPr>
          <w:p w14:paraId="2D06755A"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6BD0D0DD"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44E99FF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51AA1C3F"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提倡屋顶、阳台等立体绿化，且绿化面积达到绿化总面积的20%</w:t>
            </w:r>
          </w:p>
        </w:tc>
        <w:tc>
          <w:tcPr>
            <w:tcW w:w="419" w:type="pct"/>
            <w:tcBorders>
              <w:top w:val="nil"/>
              <w:left w:val="nil"/>
              <w:bottom w:val="single" w:sz="4" w:space="0" w:color="auto"/>
              <w:right w:val="single" w:sz="4" w:space="0" w:color="auto"/>
            </w:tcBorders>
            <w:shd w:val="clear" w:color="auto" w:fill="auto"/>
            <w:vAlign w:val="center"/>
            <w:hideMark/>
          </w:tcPr>
          <w:p w14:paraId="060A771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5A87EE98"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2BD9285E"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44EE6E3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25A5F61E" w14:textId="77777777" w:rsidTr="00DA5514">
        <w:trPr>
          <w:trHeight w:val="600"/>
        </w:trPr>
        <w:tc>
          <w:tcPr>
            <w:tcW w:w="432" w:type="pct"/>
            <w:vMerge/>
            <w:tcBorders>
              <w:top w:val="nil"/>
              <w:left w:val="single" w:sz="4" w:space="0" w:color="auto"/>
              <w:bottom w:val="single" w:sz="4" w:space="0" w:color="auto"/>
              <w:right w:val="single" w:sz="4" w:space="0" w:color="auto"/>
            </w:tcBorders>
            <w:vAlign w:val="center"/>
            <w:hideMark/>
          </w:tcPr>
          <w:p w14:paraId="7AA7C5BB"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1159812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31BDB16E"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554C9C21"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区内绿化有科普措施，植物有其名称、科属、特性、栽培方法等说明牌</w:t>
            </w:r>
          </w:p>
        </w:tc>
        <w:tc>
          <w:tcPr>
            <w:tcW w:w="419" w:type="pct"/>
            <w:tcBorders>
              <w:top w:val="nil"/>
              <w:left w:val="nil"/>
              <w:bottom w:val="single" w:sz="4" w:space="0" w:color="auto"/>
              <w:right w:val="single" w:sz="4" w:space="0" w:color="auto"/>
            </w:tcBorders>
            <w:shd w:val="clear" w:color="auto" w:fill="auto"/>
            <w:vAlign w:val="center"/>
            <w:hideMark/>
          </w:tcPr>
          <w:p w14:paraId="770E8FA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4A9E89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054BAF9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439AD33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66976838" w14:textId="77777777" w:rsidTr="00DA5514">
        <w:trPr>
          <w:trHeight w:val="915"/>
        </w:trPr>
        <w:tc>
          <w:tcPr>
            <w:tcW w:w="432" w:type="pct"/>
            <w:vMerge/>
            <w:tcBorders>
              <w:top w:val="nil"/>
              <w:left w:val="single" w:sz="4" w:space="0" w:color="auto"/>
              <w:bottom w:val="single" w:sz="4" w:space="0" w:color="auto"/>
              <w:right w:val="single" w:sz="4" w:space="0" w:color="auto"/>
            </w:tcBorders>
            <w:vAlign w:val="center"/>
            <w:hideMark/>
          </w:tcPr>
          <w:p w14:paraId="6ADFB084"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2283AD1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5.2</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30933B6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社区景观环境优美，兼具生态环境、休闲活动、景观文化功能</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1B5B5456"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社区四季有绿、三季有花，绿地种植保存率（成活率）不低于</w:t>
            </w:r>
            <w:r w:rsidRPr="00737AB2">
              <w:rPr>
                <w:rFonts w:ascii="Calibri" w:hAnsi="Calibri" w:cs="Calibri"/>
                <w:color w:val="000000"/>
                <w:kern w:val="0"/>
                <w:sz w:val="22"/>
              </w:rPr>
              <w:t>98%</w:t>
            </w:r>
            <w:r w:rsidRPr="00737AB2">
              <w:rPr>
                <w:rFonts w:ascii="宋体" w:hAnsi="宋体" w:cs="宋体" w:hint="eastAsia"/>
                <w:color w:val="000000"/>
                <w:kern w:val="0"/>
                <w:sz w:val="22"/>
              </w:rPr>
              <w:t>，优良率不低于</w:t>
            </w:r>
            <w:r w:rsidRPr="00737AB2">
              <w:rPr>
                <w:rFonts w:ascii="Calibri" w:hAnsi="Calibri" w:cs="Calibri"/>
                <w:color w:val="000000"/>
                <w:kern w:val="0"/>
                <w:sz w:val="22"/>
              </w:rPr>
              <w:t>90%</w:t>
            </w:r>
          </w:p>
        </w:tc>
        <w:tc>
          <w:tcPr>
            <w:tcW w:w="419" w:type="pct"/>
            <w:tcBorders>
              <w:top w:val="nil"/>
              <w:left w:val="nil"/>
              <w:bottom w:val="single" w:sz="4" w:space="0" w:color="auto"/>
              <w:right w:val="single" w:sz="4" w:space="0" w:color="auto"/>
            </w:tcBorders>
            <w:shd w:val="clear" w:color="auto" w:fill="auto"/>
            <w:vAlign w:val="center"/>
            <w:hideMark/>
          </w:tcPr>
          <w:p w14:paraId="19BF204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54458CF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0B3CFB4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3D7FB03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2FA6B12A" w14:textId="77777777" w:rsidTr="00DA5514">
        <w:trPr>
          <w:trHeight w:val="570"/>
        </w:trPr>
        <w:tc>
          <w:tcPr>
            <w:tcW w:w="432" w:type="pct"/>
            <w:vMerge/>
            <w:tcBorders>
              <w:top w:val="nil"/>
              <w:left w:val="single" w:sz="4" w:space="0" w:color="auto"/>
              <w:bottom w:val="single" w:sz="4" w:space="0" w:color="auto"/>
              <w:right w:val="single" w:sz="4" w:space="0" w:color="auto"/>
            </w:tcBorders>
            <w:vAlign w:val="center"/>
            <w:hideMark/>
          </w:tcPr>
          <w:p w14:paraId="5986286C"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0AC9AFA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766422CE"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7A983F2E"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社区提供户外活动交往场所并健身设施和儿童游戏休闲活动设施</w:t>
            </w:r>
          </w:p>
        </w:tc>
        <w:tc>
          <w:tcPr>
            <w:tcW w:w="419" w:type="pct"/>
            <w:tcBorders>
              <w:top w:val="nil"/>
              <w:left w:val="nil"/>
              <w:bottom w:val="single" w:sz="4" w:space="0" w:color="auto"/>
              <w:right w:val="single" w:sz="4" w:space="0" w:color="auto"/>
            </w:tcBorders>
            <w:shd w:val="clear" w:color="auto" w:fill="auto"/>
            <w:vAlign w:val="center"/>
            <w:hideMark/>
          </w:tcPr>
          <w:p w14:paraId="3DBCBBC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C7C82B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1FAF233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1CE59C37"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1F8CBFD7" w14:textId="77777777" w:rsidTr="00DA5514">
        <w:trPr>
          <w:trHeight w:val="570"/>
        </w:trPr>
        <w:tc>
          <w:tcPr>
            <w:tcW w:w="432" w:type="pct"/>
            <w:vMerge/>
            <w:tcBorders>
              <w:top w:val="nil"/>
              <w:left w:val="single" w:sz="4" w:space="0" w:color="auto"/>
              <w:bottom w:val="single" w:sz="4" w:space="0" w:color="auto"/>
              <w:right w:val="single" w:sz="4" w:space="0" w:color="auto"/>
            </w:tcBorders>
            <w:vAlign w:val="center"/>
            <w:hideMark/>
          </w:tcPr>
          <w:p w14:paraId="28E7612A"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4F8757F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16471C37"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41123043"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社区通过园林空间、植物配置、小区雕塑等提供景观文化功能设施</w:t>
            </w:r>
          </w:p>
        </w:tc>
        <w:tc>
          <w:tcPr>
            <w:tcW w:w="419" w:type="pct"/>
            <w:tcBorders>
              <w:top w:val="nil"/>
              <w:left w:val="nil"/>
              <w:bottom w:val="single" w:sz="4" w:space="0" w:color="auto"/>
              <w:right w:val="single" w:sz="4" w:space="0" w:color="auto"/>
            </w:tcBorders>
            <w:shd w:val="clear" w:color="auto" w:fill="auto"/>
            <w:vAlign w:val="center"/>
            <w:hideMark/>
          </w:tcPr>
          <w:p w14:paraId="71D262B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F21E14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41CCD9C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6ACB97D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4E01C671" w14:textId="77777777" w:rsidTr="00DA5514">
        <w:trPr>
          <w:trHeight w:val="1043"/>
        </w:trPr>
        <w:tc>
          <w:tcPr>
            <w:tcW w:w="432" w:type="pct"/>
            <w:vMerge/>
            <w:tcBorders>
              <w:top w:val="nil"/>
              <w:left w:val="single" w:sz="4" w:space="0" w:color="auto"/>
              <w:bottom w:val="single" w:sz="4" w:space="0" w:color="auto"/>
              <w:right w:val="single" w:sz="4" w:space="0" w:color="auto"/>
            </w:tcBorders>
            <w:vAlign w:val="center"/>
            <w:hideMark/>
          </w:tcPr>
          <w:p w14:paraId="75A85F83"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57651E9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5.3</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5D52BC2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注重生物多样性保护</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4A08FA56"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生态绿网连贯：社区绿地系统均匀顺畅、连贯性良好，并与社区周边绿地系统相连接</w:t>
            </w:r>
          </w:p>
        </w:tc>
        <w:tc>
          <w:tcPr>
            <w:tcW w:w="419" w:type="pct"/>
            <w:tcBorders>
              <w:top w:val="nil"/>
              <w:left w:val="nil"/>
              <w:bottom w:val="single" w:sz="4" w:space="0" w:color="auto"/>
              <w:right w:val="single" w:sz="4" w:space="0" w:color="auto"/>
            </w:tcBorders>
            <w:shd w:val="clear" w:color="auto" w:fill="auto"/>
            <w:vAlign w:val="center"/>
            <w:hideMark/>
          </w:tcPr>
          <w:p w14:paraId="55788ABC"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C6F31C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20D667B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5C55434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12376D1E" w14:textId="77777777" w:rsidTr="00DA5514">
        <w:trPr>
          <w:trHeight w:val="600"/>
        </w:trPr>
        <w:tc>
          <w:tcPr>
            <w:tcW w:w="432" w:type="pct"/>
            <w:vMerge/>
            <w:tcBorders>
              <w:top w:val="nil"/>
              <w:left w:val="single" w:sz="4" w:space="0" w:color="auto"/>
              <w:bottom w:val="single" w:sz="4" w:space="0" w:color="auto"/>
              <w:right w:val="single" w:sz="4" w:space="0" w:color="auto"/>
            </w:tcBorders>
            <w:vAlign w:val="center"/>
            <w:hideMark/>
          </w:tcPr>
          <w:p w14:paraId="3526AEE0"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280F8857"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76EE379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2BD7685C"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提倡种植本地植物：本地植物指数达到0.70</w:t>
            </w:r>
          </w:p>
        </w:tc>
        <w:tc>
          <w:tcPr>
            <w:tcW w:w="419" w:type="pct"/>
            <w:tcBorders>
              <w:top w:val="nil"/>
              <w:left w:val="nil"/>
              <w:bottom w:val="single" w:sz="4" w:space="0" w:color="auto"/>
              <w:right w:val="single" w:sz="4" w:space="0" w:color="auto"/>
            </w:tcBorders>
            <w:shd w:val="clear" w:color="auto" w:fill="auto"/>
            <w:vAlign w:val="center"/>
            <w:hideMark/>
          </w:tcPr>
          <w:p w14:paraId="01CB566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0BF9EF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02423DE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424CAA8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67F28A84" w14:textId="77777777" w:rsidTr="00DA5514">
        <w:trPr>
          <w:trHeight w:val="330"/>
        </w:trPr>
        <w:tc>
          <w:tcPr>
            <w:tcW w:w="432" w:type="pct"/>
            <w:vMerge/>
            <w:tcBorders>
              <w:top w:val="nil"/>
              <w:left w:val="single" w:sz="4" w:space="0" w:color="auto"/>
              <w:bottom w:val="single" w:sz="4" w:space="0" w:color="auto"/>
              <w:right w:val="single" w:sz="4" w:space="0" w:color="auto"/>
            </w:tcBorders>
            <w:vAlign w:val="center"/>
            <w:hideMark/>
          </w:tcPr>
          <w:p w14:paraId="7361E17A"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0D13ED6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5087211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6B0C8029"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鸟类物种数：社区内鸟类物种数达到10种</w:t>
            </w:r>
          </w:p>
        </w:tc>
        <w:tc>
          <w:tcPr>
            <w:tcW w:w="419" w:type="pct"/>
            <w:tcBorders>
              <w:top w:val="nil"/>
              <w:left w:val="nil"/>
              <w:bottom w:val="single" w:sz="4" w:space="0" w:color="auto"/>
              <w:right w:val="single" w:sz="4" w:space="0" w:color="auto"/>
            </w:tcBorders>
            <w:shd w:val="clear" w:color="auto" w:fill="auto"/>
            <w:vAlign w:val="center"/>
            <w:hideMark/>
          </w:tcPr>
          <w:p w14:paraId="599D8FD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CA3269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6A0B096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44756D6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3C6B5BDF" w14:textId="77777777" w:rsidTr="00DA5514">
        <w:trPr>
          <w:trHeight w:val="540"/>
        </w:trPr>
        <w:tc>
          <w:tcPr>
            <w:tcW w:w="432" w:type="pct"/>
            <w:vMerge/>
            <w:tcBorders>
              <w:top w:val="nil"/>
              <w:left w:val="single" w:sz="4" w:space="0" w:color="auto"/>
              <w:bottom w:val="single" w:sz="4" w:space="0" w:color="auto"/>
              <w:right w:val="single" w:sz="4" w:space="0" w:color="auto"/>
            </w:tcBorders>
            <w:vAlign w:val="center"/>
            <w:hideMark/>
          </w:tcPr>
          <w:p w14:paraId="5EB8C716"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71BA8EB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5.4</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1D02597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保证地表水环境质量。社区内地表水环境质量达到批准执行的城市水</w:t>
            </w:r>
            <w:r w:rsidRPr="00737AB2">
              <w:rPr>
                <w:rFonts w:ascii="宋体" w:hAnsi="宋体" w:cs="宋体" w:hint="eastAsia"/>
                <w:color w:val="000000"/>
                <w:kern w:val="0"/>
                <w:sz w:val="22"/>
              </w:rPr>
              <w:lastRenderedPageBreak/>
              <w:t>环境质量标准</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14:paraId="7E2E6F8F"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lastRenderedPageBreak/>
              <w:t>区域内地表水质指标达到《地表水环境质量标准》GB 3838-2002</w:t>
            </w:r>
          </w:p>
        </w:tc>
        <w:tc>
          <w:tcPr>
            <w:tcW w:w="683" w:type="pct"/>
            <w:tcBorders>
              <w:top w:val="nil"/>
              <w:left w:val="nil"/>
              <w:bottom w:val="single" w:sz="4" w:space="0" w:color="auto"/>
              <w:right w:val="single" w:sz="4" w:space="0" w:color="auto"/>
            </w:tcBorders>
            <w:shd w:val="clear" w:color="auto" w:fill="auto"/>
            <w:vAlign w:val="center"/>
            <w:hideMark/>
          </w:tcPr>
          <w:p w14:paraId="567AB88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Ⅳ</w:t>
            </w:r>
          </w:p>
        </w:tc>
        <w:tc>
          <w:tcPr>
            <w:tcW w:w="419" w:type="pct"/>
            <w:tcBorders>
              <w:top w:val="nil"/>
              <w:left w:val="nil"/>
              <w:bottom w:val="single" w:sz="4" w:space="0" w:color="auto"/>
              <w:right w:val="single" w:sz="4" w:space="0" w:color="auto"/>
            </w:tcBorders>
            <w:shd w:val="clear" w:color="auto" w:fill="auto"/>
            <w:vAlign w:val="center"/>
            <w:hideMark/>
          </w:tcPr>
          <w:p w14:paraId="3D0635B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32476E1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7956720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0461F11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19FB6A6C" w14:textId="77777777" w:rsidTr="00DA5514">
        <w:trPr>
          <w:trHeight w:val="660"/>
        </w:trPr>
        <w:tc>
          <w:tcPr>
            <w:tcW w:w="432" w:type="pct"/>
            <w:vMerge/>
            <w:tcBorders>
              <w:top w:val="nil"/>
              <w:left w:val="single" w:sz="4" w:space="0" w:color="auto"/>
              <w:bottom w:val="single" w:sz="4" w:space="0" w:color="auto"/>
              <w:right w:val="single" w:sz="4" w:space="0" w:color="auto"/>
            </w:tcBorders>
            <w:vAlign w:val="center"/>
            <w:hideMark/>
          </w:tcPr>
          <w:p w14:paraId="7DB0434A"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6E12607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520AEB47"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793" w:type="pct"/>
            <w:vMerge/>
            <w:tcBorders>
              <w:top w:val="nil"/>
              <w:left w:val="single" w:sz="4" w:space="0" w:color="auto"/>
              <w:bottom w:val="single" w:sz="4" w:space="0" w:color="auto"/>
              <w:right w:val="single" w:sz="4" w:space="0" w:color="auto"/>
            </w:tcBorders>
            <w:vAlign w:val="center"/>
            <w:hideMark/>
          </w:tcPr>
          <w:p w14:paraId="07F0D1F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683" w:type="pct"/>
            <w:tcBorders>
              <w:top w:val="nil"/>
              <w:left w:val="nil"/>
              <w:bottom w:val="single" w:sz="4" w:space="0" w:color="auto"/>
              <w:right w:val="single" w:sz="4" w:space="0" w:color="auto"/>
            </w:tcBorders>
            <w:shd w:val="clear" w:color="auto" w:fill="auto"/>
            <w:vAlign w:val="center"/>
            <w:hideMark/>
          </w:tcPr>
          <w:p w14:paraId="3CB4D6E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Ⅴ类</w:t>
            </w:r>
          </w:p>
        </w:tc>
        <w:tc>
          <w:tcPr>
            <w:tcW w:w="419" w:type="pct"/>
            <w:tcBorders>
              <w:top w:val="nil"/>
              <w:left w:val="nil"/>
              <w:bottom w:val="single" w:sz="4" w:space="0" w:color="auto"/>
              <w:right w:val="single" w:sz="4" w:space="0" w:color="auto"/>
            </w:tcBorders>
            <w:shd w:val="clear" w:color="auto" w:fill="auto"/>
            <w:vAlign w:val="center"/>
            <w:hideMark/>
          </w:tcPr>
          <w:p w14:paraId="00A4A59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47719DF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6CC6268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08C21DB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63FB9FD0" w14:textId="77777777" w:rsidTr="00DA5514">
        <w:trPr>
          <w:trHeight w:val="855"/>
        </w:trPr>
        <w:tc>
          <w:tcPr>
            <w:tcW w:w="432" w:type="pct"/>
            <w:vMerge/>
            <w:tcBorders>
              <w:top w:val="nil"/>
              <w:left w:val="single" w:sz="4" w:space="0" w:color="auto"/>
              <w:bottom w:val="single" w:sz="4" w:space="0" w:color="auto"/>
              <w:right w:val="single" w:sz="4" w:space="0" w:color="auto"/>
            </w:tcBorders>
            <w:vAlign w:val="center"/>
            <w:hideMark/>
          </w:tcPr>
          <w:p w14:paraId="5D2E82C1"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5C5B17E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5.5</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2DB1DBE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推行海绵社区建设。合理采用低影响开发技术，推行绿色雨水基础设施，建设海绵社区</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1B4F0477"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提供社区绿色雨水基础设施设计方案或海绵社区相关规划设计文件，以及社区绿色雨水基础设施实施方案或证明文件</w:t>
            </w:r>
          </w:p>
        </w:tc>
        <w:tc>
          <w:tcPr>
            <w:tcW w:w="419" w:type="pct"/>
            <w:tcBorders>
              <w:top w:val="nil"/>
              <w:left w:val="nil"/>
              <w:bottom w:val="single" w:sz="4" w:space="0" w:color="auto"/>
              <w:right w:val="single" w:sz="4" w:space="0" w:color="auto"/>
            </w:tcBorders>
            <w:shd w:val="clear" w:color="auto" w:fill="auto"/>
            <w:vAlign w:val="center"/>
            <w:hideMark/>
          </w:tcPr>
          <w:p w14:paraId="416B1C4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4527A6F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1D3DBBF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6460788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388FF2BC" w14:textId="77777777" w:rsidTr="00DA5514">
        <w:trPr>
          <w:trHeight w:val="855"/>
        </w:trPr>
        <w:tc>
          <w:tcPr>
            <w:tcW w:w="432" w:type="pct"/>
            <w:vMerge/>
            <w:tcBorders>
              <w:top w:val="nil"/>
              <w:left w:val="single" w:sz="4" w:space="0" w:color="auto"/>
              <w:bottom w:val="single" w:sz="4" w:space="0" w:color="auto"/>
              <w:right w:val="single" w:sz="4" w:space="0" w:color="auto"/>
            </w:tcBorders>
            <w:vAlign w:val="center"/>
            <w:hideMark/>
          </w:tcPr>
          <w:p w14:paraId="472EDC2F"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6BC1C6F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03FA23E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2E3F5338"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收集屋顶雨水和地表径流雨水，对收集雨水进行单独人工处理或进入住区中水处理系统，使其水质达到相应标准，用于社区杂用水和景观绿化用水</w:t>
            </w:r>
          </w:p>
        </w:tc>
        <w:tc>
          <w:tcPr>
            <w:tcW w:w="419" w:type="pct"/>
            <w:tcBorders>
              <w:top w:val="nil"/>
              <w:left w:val="nil"/>
              <w:bottom w:val="single" w:sz="4" w:space="0" w:color="auto"/>
              <w:right w:val="single" w:sz="4" w:space="0" w:color="auto"/>
            </w:tcBorders>
            <w:shd w:val="clear" w:color="auto" w:fill="auto"/>
            <w:vAlign w:val="center"/>
            <w:hideMark/>
          </w:tcPr>
          <w:p w14:paraId="4E68551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1394898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446DC34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41E991E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30EF2E4F" w14:textId="77777777" w:rsidTr="00DA5514">
        <w:trPr>
          <w:trHeight w:val="885"/>
        </w:trPr>
        <w:tc>
          <w:tcPr>
            <w:tcW w:w="432" w:type="pct"/>
            <w:vMerge/>
            <w:tcBorders>
              <w:top w:val="nil"/>
              <w:left w:val="single" w:sz="4" w:space="0" w:color="auto"/>
              <w:bottom w:val="single" w:sz="4" w:space="0" w:color="auto"/>
              <w:right w:val="single" w:sz="4" w:space="0" w:color="auto"/>
            </w:tcBorders>
            <w:vAlign w:val="center"/>
            <w:hideMark/>
          </w:tcPr>
          <w:p w14:paraId="055FF4A3"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4D38B8A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140FC0C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3B641073"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绿化场地因地制宜设置下凹式绿地、雨水花园等有调蓄雨水功能的绿地和水体，其面积之和占绿地面积的比例不小于30%</w:t>
            </w:r>
          </w:p>
        </w:tc>
        <w:tc>
          <w:tcPr>
            <w:tcW w:w="419" w:type="pct"/>
            <w:tcBorders>
              <w:top w:val="nil"/>
              <w:left w:val="nil"/>
              <w:bottom w:val="single" w:sz="4" w:space="0" w:color="auto"/>
              <w:right w:val="single" w:sz="4" w:space="0" w:color="auto"/>
            </w:tcBorders>
            <w:shd w:val="clear" w:color="auto" w:fill="auto"/>
            <w:vAlign w:val="center"/>
            <w:hideMark/>
          </w:tcPr>
          <w:p w14:paraId="08D7EA6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5E48A7C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2459F4E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2A1634A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64CB52EE" w14:textId="77777777" w:rsidTr="00DA5514">
        <w:trPr>
          <w:trHeight w:val="1298"/>
        </w:trPr>
        <w:tc>
          <w:tcPr>
            <w:tcW w:w="432" w:type="pct"/>
            <w:vMerge/>
            <w:tcBorders>
              <w:top w:val="nil"/>
              <w:left w:val="single" w:sz="4" w:space="0" w:color="auto"/>
              <w:bottom w:val="single" w:sz="4" w:space="0" w:color="auto"/>
              <w:right w:val="single" w:sz="4" w:space="0" w:color="auto"/>
            </w:tcBorders>
            <w:vAlign w:val="center"/>
            <w:hideMark/>
          </w:tcPr>
          <w:p w14:paraId="62D04A4A"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6BBEDE8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146D0073"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34B6EFDB"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在社区内采用多种渗透设施进行渗透净化，公共活动场地、人行道、露天停车场等宜采用透水铺装，可渗透铺装面积不小于30%</w:t>
            </w:r>
          </w:p>
        </w:tc>
        <w:tc>
          <w:tcPr>
            <w:tcW w:w="419" w:type="pct"/>
            <w:tcBorders>
              <w:top w:val="nil"/>
              <w:left w:val="nil"/>
              <w:bottom w:val="single" w:sz="4" w:space="0" w:color="auto"/>
              <w:right w:val="single" w:sz="4" w:space="0" w:color="auto"/>
            </w:tcBorders>
            <w:shd w:val="clear" w:color="auto" w:fill="auto"/>
            <w:vAlign w:val="center"/>
            <w:hideMark/>
          </w:tcPr>
          <w:p w14:paraId="691C614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0CBB30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21A0317E"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199784B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3A143759" w14:textId="77777777" w:rsidTr="00DA5514">
        <w:trPr>
          <w:trHeight w:val="855"/>
        </w:trPr>
        <w:tc>
          <w:tcPr>
            <w:tcW w:w="432" w:type="pct"/>
            <w:vMerge/>
            <w:tcBorders>
              <w:top w:val="nil"/>
              <w:left w:val="single" w:sz="4" w:space="0" w:color="auto"/>
              <w:bottom w:val="single" w:sz="4" w:space="0" w:color="auto"/>
              <w:right w:val="single" w:sz="4" w:space="0" w:color="auto"/>
            </w:tcBorders>
            <w:vAlign w:val="center"/>
            <w:hideMark/>
          </w:tcPr>
          <w:p w14:paraId="673972FA"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21FCC26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5.6</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78B9C9B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控制社区热岛效应。构建通风廊道，提供舒适热环境</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0A7D7B4F"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社区内结合道路、绿化、水系及开敞空间，合理布局社区通风廊道，降低热岛效应</w:t>
            </w:r>
          </w:p>
        </w:tc>
        <w:tc>
          <w:tcPr>
            <w:tcW w:w="419" w:type="pct"/>
            <w:tcBorders>
              <w:top w:val="nil"/>
              <w:left w:val="nil"/>
              <w:bottom w:val="single" w:sz="4" w:space="0" w:color="auto"/>
              <w:right w:val="single" w:sz="4" w:space="0" w:color="auto"/>
            </w:tcBorders>
            <w:shd w:val="clear" w:color="auto" w:fill="auto"/>
            <w:vAlign w:val="center"/>
            <w:hideMark/>
          </w:tcPr>
          <w:p w14:paraId="0AF02DC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3B1958AD"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566BCAD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0050E2A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06A1196D" w14:textId="77777777" w:rsidTr="00DA5514">
        <w:trPr>
          <w:trHeight w:val="855"/>
        </w:trPr>
        <w:tc>
          <w:tcPr>
            <w:tcW w:w="432" w:type="pct"/>
            <w:vMerge/>
            <w:tcBorders>
              <w:top w:val="nil"/>
              <w:left w:val="single" w:sz="4" w:space="0" w:color="auto"/>
              <w:bottom w:val="single" w:sz="4" w:space="0" w:color="auto"/>
              <w:right w:val="single" w:sz="4" w:space="0" w:color="auto"/>
            </w:tcBorders>
            <w:vAlign w:val="center"/>
            <w:hideMark/>
          </w:tcPr>
          <w:p w14:paraId="349C35E3"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67CC248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1DA2FBF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10A8AB77"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社区内建筑布局进行自然通风规划设计，风环境有利于过渡季、夏季的自然通风及冬季室外行走舒适</w:t>
            </w:r>
          </w:p>
        </w:tc>
        <w:tc>
          <w:tcPr>
            <w:tcW w:w="419" w:type="pct"/>
            <w:tcBorders>
              <w:top w:val="nil"/>
              <w:left w:val="nil"/>
              <w:bottom w:val="single" w:sz="4" w:space="0" w:color="auto"/>
              <w:right w:val="single" w:sz="4" w:space="0" w:color="auto"/>
            </w:tcBorders>
            <w:shd w:val="clear" w:color="auto" w:fill="auto"/>
            <w:vAlign w:val="center"/>
            <w:hideMark/>
          </w:tcPr>
          <w:p w14:paraId="31C6B65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F4D233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3D4C83A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3B6401AD"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63ECD4A1" w14:textId="77777777" w:rsidTr="00DA5514">
        <w:trPr>
          <w:trHeight w:val="1212"/>
        </w:trPr>
        <w:tc>
          <w:tcPr>
            <w:tcW w:w="432" w:type="pct"/>
            <w:vMerge/>
            <w:tcBorders>
              <w:top w:val="nil"/>
              <w:left w:val="single" w:sz="4" w:space="0" w:color="auto"/>
              <w:bottom w:val="single" w:sz="4" w:space="0" w:color="auto"/>
              <w:right w:val="single" w:sz="4" w:space="0" w:color="auto"/>
            </w:tcBorders>
            <w:vAlign w:val="center"/>
            <w:hideMark/>
          </w:tcPr>
          <w:p w14:paraId="6D591A53"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0E53D70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5.7</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416D824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保障社区声环境质量。最大程度地消除噪声污染，确保社</w:t>
            </w:r>
            <w:r w:rsidRPr="00737AB2">
              <w:rPr>
                <w:rFonts w:ascii="宋体" w:hAnsi="宋体" w:cs="宋体" w:hint="eastAsia"/>
                <w:color w:val="000000"/>
                <w:kern w:val="0"/>
                <w:sz w:val="22"/>
              </w:rPr>
              <w:lastRenderedPageBreak/>
              <w:t>区内环境噪声达标</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212AFFD6"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lastRenderedPageBreak/>
              <w:t>社区内环境噪声质量达到现行国家标准《声环境质量标准》GB 3096-2008中1类声环境功能区的规定，昼间小于55dB，夜间小于45dB</w:t>
            </w:r>
          </w:p>
        </w:tc>
        <w:tc>
          <w:tcPr>
            <w:tcW w:w="419" w:type="pct"/>
            <w:tcBorders>
              <w:top w:val="nil"/>
              <w:left w:val="nil"/>
              <w:bottom w:val="single" w:sz="4" w:space="0" w:color="auto"/>
              <w:right w:val="single" w:sz="4" w:space="0" w:color="auto"/>
            </w:tcBorders>
            <w:shd w:val="clear" w:color="auto" w:fill="auto"/>
            <w:vAlign w:val="center"/>
            <w:hideMark/>
          </w:tcPr>
          <w:p w14:paraId="09A570C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2AE3AF4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7BC7E06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3DF7BBC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0929C9CE" w14:textId="77777777" w:rsidTr="00DA5514">
        <w:trPr>
          <w:trHeight w:val="1092"/>
        </w:trPr>
        <w:tc>
          <w:tcPr>
            <w:tcW w:w="432" w:type="pct"/>
            <w:vMerge/>
            <w:tcBorders>
              <w:top w:val="nil"/>
              <w:left w:val="single" w:sz="4" w:space="0" w:color="auto"/>
              <w:bottom w:val="single" w:sz="4" w:space="0" w:color="auto"/>
              <w:right w:val="single" w:sz="4" w:space="0" w:color="auto"/>
            </w:tcBorders>
            <w:vAlign w:val="center"/>
            <w:hideMark/>
          </w:tcPr>
          <w:p w14:paraId="0FA61BED"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728A1B1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373EA3A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79189355"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对社区内部易产生噪声的设备和功能区（如地面停车场等）进行合理布置，采用绿化隔离带、声屏障、隔音玻璃等措施，有效降低内部噪声污染</w:t>
            </w:r>
          </w:p>
        </w:tc>
        <w:tc>
          <w:tcPr>
            <w:tcW w:w="419" w:type="pct"/>
            <w:tcBorders>
              <w:top w:val="nil"/>
              <w:left w:val="nil"/>
              <w:bottom w:val="single" w:sz="4" w:space="0" w:color="auto"/>
              <w:right w:val="single" w:sz="4" w:space="0" w:color="auto"/>
            </w:tcBorders>
            <w:shd w:val="clear" w:color="auto" w:fill="auto"/>
            <w:vAlign w:val="center"/>
            <w:hideMark/>
          </w:tcPr>
          <w:p w14:paraId="3ED90C08"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7AF54F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0C5B5B3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27C69AB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512DA677" w14:textId="77777777" w:rsidTr="00DA5514">
        <w:trPr>
          <w:trHeight w:val="972"/>
        </w:trPr>
        <w:tc>
          <w:tcPr>
            <w:tcW w:w="432" w:type="pct"/>
            <w:vMerge/>
            <w:tcBorders>
              <w:top w:val="nil"/>
              <w:left w:val="single" w:sz="4" w:space="0" w:color="auto"/>
              <w:bottom w:val="single" w:sz="4" w:space="0" w:color="auto"/>
              <w:right w:val="single" w:sz="4" w:space="0" w:color="auto"/>
            </w:tcBorders>
            <w:vAlign w:val="center"/>
            <w:hideMark/>
          </w:tcPr>
          <w:p w14:paraId="232F9238"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7309328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5.8</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42E44A1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提高大气环境质量。减少社区大气污染物排放，保障空气流通，提高空气质量</w:t>
            </w:r>
          </w:p>
        </w:tc>
        <w:tc>
          <w:tcPr>
            <w:tcW w:w="1476" w:type="pct"/>
            <w:gridSpan w:val="2"/>
            <w:tcBorders>
              <w:top w:val="single" w:sz="4" w:space="0" w:color="auto"/>
              <w:left w:val="nil"/>
              <w:bottom w:val="single" w:sz="4" w:space="0" w:color="auto"/>
              <w:right w:val="single" w:sz="4" w:space="0" w:color="auto"/>
            </w:tcBorders>
            <w:shd w:val="clear" w:color="auto" w:fill="auto"/>
            <w:vAlign w:val="center"/>
            <w:hideMark/>
          </w:tcPr>
          <w:p w14:paraId="4AFC6273"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社区内空气质量达到现行国家标准《环境空气质量标准》GB 3095-2012中对二类环境空气功能区的质量要求</w:t>
            </w:r>
          </w:p>
        </w:tc>
        <w:tc>
          <w:tcPr>
            <w:tcW w:w="419" w:type="pct"/>
            <w:tcBorders>
              <w:top w:val="nil"/>
              <w:left w:val="nil"/>
              <w:bottom w:val="single" w:sz="4" w:space="0" w:color="auto"/>
              <w:right w:val="single" w:sz="4" w:space="0" w:color="auto"/>
            </w:tcBorders>
            <w:shd w:val="clear" w:color="auto" w:fill="auto"/>
            <w:vAlign w:val="center"/>
            <w:hideMark/>
          </w:tcPr>
          <w:p w14:paraId="4F59B1C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3F066E5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74C314C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7B002F9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3A78D13C" w14:textId="77777777" w:rsidTr="00DA5514">
        <w:trPr>
          <w:trHeight w:val="900"/>
        </w:trPr>
        <w:tc>
          <w:tcPr>
            <w:tcW w:w="432" w:type="pct"/>
            <w:vMerge/>
            <w:tcBorders>
              <w:top w:val="nil"/>
              <w:left w:val="single" w:sz="4" w:space="0" w:color="auto"/>
              <w:bottom w:val="single" w:sz="4" w:space="0" w:color="auto"/>
              <w:right w:val="single" w:sz="4" w:space="0" w:color="auto"/>
            </w:tcBorders>
            <w:vAlign w:val="center"/>
            <w:hideMark/>
          </w:tcPr>
          <w:p w14:paraId="5F580682"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4EFE9CE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18D6A83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7E00B67F"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社区规划合理，避免不利于空气流通的布局，停车场和机动车道合理布局，降低汽车尾气对住户的污染</w:t>
            </w:r>
          </w:p>
        </w:tc>
        <w:tc>
          <w:tcPr>
            <w:tcW w:w="419" w:type="pct"/>
            <w:tcBorders>
              <w:top w:val="nil"/>
              <w:left w:val="nil"/>
              <w:bottom w:val="single" w:sz="4" w:space="0" w:color="auto"/>
              <w:right w:val="single" w:sz="4" w:space="0" w:color="auto"/>
            </w:tcBorders>
            <w:shd w:val="clear" w:color="auto" w:fill="auto"/>
            <w:vAlign w:val="center"/>
            <w:hideMark/>
          </w:tcPr>
          <w:p w14:paraId="7C6628E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63B64F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5F9CD26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1E40E40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6D0789D9" w14:textId="77777777" w:rsidTr="00DA5514">
        <w:trPr>
          <w:trHeight w:val="570"/>
        </w:trPr>
        <w:tc>
          <w:tcPr>
            <w:tcW w:w="432" w:type="pct"/>
            <w:vMerge/>
            <w:tcBorders>
              <w:top w:val="nil"/>
              <w:left w:val="single" w:sz="4" w:space="0" w:color="auto"/>
              <w:bottom w:val="single" w:sz="4" w:space="0" w:color="auto"/>
              <w:right w:val="single" w:sz="4" w:space="0" w:color="auto"/>
            </w:tcBorders>
            <w:vAlign w:val="center"/>
            <w:hideMark/>
          </w:tcPr>
          <w:p w14:paraId="47FFCBD4"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auto"/>
              <w:right w:val="single" w:sz="4" w:space="0" w:color="auto"/>
            </w:tcBorders>
            <w:vAlign w:val="center"/>
            <w:hideMark/>
          </w:tcPr>
          <w:p w14:paraId="3B3B667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70D6FD5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gridSpan w:val="2"/>
            <w:tcBorders>
              <w:top w:val="single" w:sz="4" w:space="0" w:color="auto"/>
              <w:left w:val="nil"/>
              <w:bottom w:val="single" w:sz="4" w:space="0" w:color="auto"/>
              <w:right w:val="single" w:sz="4" w:space="0" w:color="auto"/>
            </w:tcBorders>
            <w:shd w:val="clear" w:color="auto" w:fill="auto"/>
            <w:vAlign w:val="bottom"/>
            <w:hideMark/>
          </w:tcPr>
          <w:p w14:paraId="02C27E41" w14:textId="77777777" w:rsidR="00DA5514" w:rsidRPr="00737AB2" w:rsidRDefault="00DA5514" w:rsidP="00C66291">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施工装修选用环保型材料，社区内公共场所空气没有异味</w:t>
            </w:r>
          </w:p>
        </w:tc>
        <w:tc>
          <w:tcPr>
            <w:tcW w:w="419" w:type="pct"/>
            <w:tcBorders>
              <w:top w:val="nil"/>
              <w:left w:val="nil"/>
              <w:bottom w:val="single" w:sz="4" w:space="0" w:color="auto"/>
              <w:right w:val="single" w:sz="4" w:space="0" w:color="auto"/>
            </w:tcBorders>
            <w:shd w:val="clear" w:color="auto" w:fill="auto"/>
            <w:vAlign w:val="center"/>
            <w:hideMark/>
          </w:tcPr>
          <w:p w14:paraId="7A72303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9AFCAE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auto"/>
              <w:right w:val="single" w:sz="4" w:space="0" w:color="auto"/>
            </w:tcBorders>
            <w:vAlign w:val="center"/>
            <w:hideMark/>
          </w:tcPr>
          <w:p w14:paraId="3808D21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auto"/>
              <w:right w:val="single" w:sz="4" w:space="0" w:color="auto"/>
            </w:tcBorders>
            <w:vAlign w:val="center"/>
            <w:hideMark/>
          </w:tcPr>
          <w:p w14:paraId="456FCC9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45F42FB0" w14:textId="77777777" w:rsidTr="00505AEA">
        <w:trPr>
          <w:trHeight w:val="56"/>
        </w:trPr>
        <w:tc>
          <w:tcPr>
            <w:tcW w:w="4163" w:type="pct"/>
            <w:gridSpan w:val="7"/>
            <w:tcBorders>
              <w:top w:val="single" w:sz="4" w:space="0" w:color="auto"/>
              <w:left w:val="single" w:sz="4" w:space="0" w:color="auto"/>
              <w:bottom w:val="single" w:sz="4" w:space="0" w:color="auto"/>
              <w:right w:val="single" w:sz="4" w:space="0" w:color="auto"/>
            </w:tcBorders>
            <w:vAlign w:val="center"/>
          </w:tcPr>
          <w:p w14:paraId="2ED4DA53" w14:textId="45EE8269" w:rsidR="00DA5514" w:rsidRPr="00737AB2" w:rsidRDefault="00DA5514" w:rsidP="00C66291">
            <w:pPr>
              <w:widowControl/>
              <w:spacing w:line="240" w:lineRule="auto"/>
              <w:ind w:firstLineChars="0" w:firstLine="0"/>
              <w:jc w:val="center"/>
              <w:rPr>
                <w:rFonts w:ascii="宋体" w:hAnsi="宋体" w:cs="宋体" w:hint="eastAsia"/>
                <w:color w:val="000000"/>
                <w:kern w:val="0"/>
                <w:sz w:val="22"/>
              </w:rPr>
            </w:pPr>
            <w:r>
              <w:rPr>
                <w:rFonts w:ascii="宋体" w:hAnsi="宋体" w:cs="宋体" w:hint="eastAsia"/>
                <w:color w:val="000000"/>
                <w:kern w:val="0"/>
                <w:sz w:val="22"/>
              </w:rPr>
              <w:t>合计</w:t>
            </w:r>
          </w:p>
        </w:tc>
        <w:tc>
          <w:tcPr>
            <w:tcW w:w="837" w:type="pct"/>
            <w:gridSpan w:val="2"/>
            <w:tcBorders>
              <w:top w:val="single" w:sz="4" w:space="0" w:color="auto"/>
              <w:left w:val="single" w:sz="4" w:space="0" w:color="auto"/>
              <w:bottom w:val="single" w:sz="4" w:space="0" w:color="auto"/>
              <w:right w:val="single" w:sz="4" w:space="0" w:color="auto"/>
            </w:tcBorders>
            <w:vAlign w:val="center"/>
          </w:tcPr>
          <w:p w14:paraId="41C88DC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bl>
    <w:p w14:paraId="073A3B9A" w14:textId="77777777" w:rsidR="00DA5514" w:rsidRDefault="00DA5514" w:rsidP="00DA5514">
      <w:pPr>
        <w:ind w:firstLine="480"/>
      </w:pPr>
      <w:r>
        <w:rPr>
          <w:rFonts w:hint="eastAsia"/>
        </w:rPr>
        <w:t>对每项进行</w:t>
      </w:r>
      <w:r w:rsidRPr="00915C9A">
        <w:rPr>
          <w:rFonts w:hint="eastAsia"/>
        </w:rPr>
        <w:t>自评得分</w:t>
      </w:r>
      <w:r>
        <w:rPr>
          <w:rFonts w:hint="eastAsia"/>
        </w:rPr>
        <w:t>、得分说明，提交证明材料，格式如下：</w:t>
      </w:r>
    </w:p>
    <w:p w14:paraId="600D3452" w14:textId="10680008" w:rsidR="00DA5514" w:rsidRDefault="00DA5514" w:rsidP="00DA5514">
      <w:pPr>
        <w:ind w:firstLine="480"/>
      </w:pPr>
      <w:r>
        <w:t>5</w:t>
      </w:r>
      <w:r>
        <w:rPr>
          <w:rFonts w:hint="eastAsia"/>
        </w:rPr>
        <w:t>.1</w:t>
      </w:r>
      <w:r w:rsidRPr="00DA5514">
        <w:rPr>
          <w:rFonts w:hint="eastAsia"/>
        </w:rPr>
        <w:t>绿化覆盖率大于社区总面积的</w:t>
      </w:r>
      <w:r w:rsidRPr="00DA5514">
        <w:rPr>
          <w:rFonts w:hint="eastAsia"/>
        </w:rPr>
        <w:t>35%</w:t>
      </w:r>
      <w:r w:rsidRPr="00DA5514">
        <w:rPr>
          <w:rFonts w:hint="eastAsia"/>
        </w:rPr>
        <w:t>；乔、灌、草合理搭配，植物配置丰实度高；提倡屋顶、阳台等立体绿化</w:t>
      </w:r>
      <w:r>
        <w:rPr>
          <w:rFonts w:hint="eastAsia"/>
        </w:rPr>
        <w:t>。</w:t>
      </w:r>
    </w:p>
    <w:p w14:paraId="759D2286" w14:textId="77777777" w:rsidR="00DA5514" w:rsidRDefault="00DA5514" w:rsidP="00DA5514">
      <w:pPr>
        <w:ind w:firstLine="480"/>
      </w:pPr>
      <w:r>
        <w:t>1</w:t>
      </w:r>
      <w:r>
        <w:rPr>
          <w:rFonts w:hint="eastAsia"/>
        </w:rPr>
        <w:t>）</w:t>
      </w:r>
      <w:r w:rsidRPr="00915C9A">
        <w:rPr>
          <w:rFonts w:hint="eastAsia"/>
        </w:rPr>
        <w:t>自评得分</w:t>
      </w:r>
      <w:r>
        <w:rPr>
          <w:rFonts w:hint="eastAsia"/>
        </w:rPr>
        <w:t>：</w:t>
      </w:r>
    </w:p>
    <w:p w14:paraId="28426EBC" w14:textId="77777777" w:rsidR="00DA5514" w:rsidRPr="00915C9A" w:rsidRDefault="00DA5514" w:rsidP="00DA5514">
      <w:pPr>
        <w:ind w:firstLine="480"/>
      </w:pPr>
      <w:r w:rsidRPr="00915C9A">
        <w:t>2</w:t>
      </w:r>
      <w:r>
        <w:rPr>
          <w:rFonts w:hint="eastAsia"/>
        </w:rPr>
        <w:t>）</w:t>
      </w:r>
      <w:r w:rsidRPr="00915C9A">
        <w:rPr>
          <w:rFonts w:hint="eastAsia"/>
        </w:rPr>
        <w:t>得分说明：简要说明得分原因</w:t>
      </w:r>
      <w:r>
        <w:rPr>
          <w:rFonts w:hint="eastAsia"/>
        </w:rPr>
        <w:t>，如有计算过程请说明计算过程。</w:t>
      </w:r>
    </w:p>
    <w:p w14:paraId="179EE61C" w14:textId="77777777" w:rsidR="00DA5514" w:rsidRDefault="00DA5514" w:rsidP="00DA5514">
      <w:pPr>
        <w:ind w:firstLine="480"/>
      </w:pPr>
      <w:r w:rsidRPr="00915C9A">
        <w:t>3</w:t>
      </w:r>
      <w:r>
        <w:rPr>
          <w:rFonts w:hint="eastAsia"/>
        </w:rPr>
        <w:t>）</w:t>
      </w:r>
      <w:r w:rsidRPr="00915C9A">
        <w:rPr>
          <w:rFonts w:hint="eastAsia"/>
        </w:rPr>
        <w:t>证明材料：注明实际提交材料名称，标</w:t>
      </w:r>
      <w:r>
        <w:rPr>
          <w:rFonts w:hint="eastAsia"/>
        </w:rPr>
        <w:t>注</w:t>
      </w:r>
      <w:r w:rsidRPr="00915C9A">
        <w:rPr>
          <w:rFonts w:hint="eastAsia"/>
        </w:rPr>
        <w:t>清楚得分项在证明材料中的具体位置</w:t>
      </w:r>
      <w:r>
        <w:rPr>
          <w:rFonts w:hint="eastAsia"/>
        </w:rPr>
        <w:t>。</w:t>
      </w:r>
    </w:p>
    <w:p w14:paraId="381CEDCA" w14:textId="27AF3DE4" w:rsidR="00DA5514" w:rsidRDefault="00DA5514" w:rsidP="00915C9A">
      <w:pPr>
        <w:ind w:firstLine="480"/>
      </w:pPr>
      <w:r>
        <w:br w:type="page"/>
      </w:r>
    </w:p>
    <w:p w14:paraId="08E60C2E" w14:textId="71844E9F" w:rsidR="00DA5514" w:rsidRDefault="00DA5514" w:rsidP="00DA5514">
      <w:pPr>
        <w:pStyle w:val="2"/>
      </w:pPr>
      <w:r>
        <w:rPr>
          <w:rFonts w:hint="eastAsia"/>
        </w:rPr>
        <w:lastRenderedPageBreak/>
        <w:t>6</w:t>
      </w:r>
      <w:r>
        <w:rPr>
          <w:rFonts w:hint="eastAsia"/>
        </w:rPr>
        <w:t>、</w:t>
      </w:r>
      <w:r w:rsidRPr="00737AB2">
        <w:rPr>
          <w:rFonts w:hint="eastAsia"/>
        </w:rPr>
        <w:t>资源循环</w:t>
      </w:r>
    </w:p>
    <w:tbl>
      <w:tblPr>
        <w:tblW w:w="5000" w:type="pct"/>
        <w:tblLook w:val="04A0" w:firstRow="1" w:lastRow="0" w:firstColumn="1" w:lastColumn="0" w:noHBand="0" w:noVBand="1"/>
      </w:tblPr>
      <w:tblGrid>
        <w:gridCol w:w="717"/>
        <w:gridCol w:w="876"/>
        <w:gridCol w:w="1475"/>
        <w:gridCol w:w="2449"/>
        <w:gridCol w:w="695"/>
        <w:gridCol w:w="695"/>
        <w:gridCol w:w="695"/>
        <w:gridCol w:w="694"/>
      </w:tblGrid>
      <w:tr w:rsidR="00DA5514" w:rsidRPr="00DA5514" w14:paraId="47BD92DA" w14:textId="77777777" w:rsidTr="00505AEA">
        <w:trPr>
          <w:trHeight w:val="508"/>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5D28C" w14:textId="77777777" w:rsidR="00DA5514" w:rsidRPr="00737AB2" w:rsidRDefault="00DA5514"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指标类别</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B0D77"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编码</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06872"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评价类别</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3983AB91" w14:textId="77777777" w:rsidR="00DA5514" w:rsidRPr="00DA5514" w:rsidRDefault="00DA5514" w:rsidP="00DA5514">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评价内容</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0B599E77"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评价档次</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0820E4F8"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自评分</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CB83C"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自评得分</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4D434"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备注</w:t>
            </w:r>
          </w:p>
        </w:tc>
      </w:tr>
      <w:tr w:rsidR="00DA5514" w:rsidRPr="00737AB2" w14:paraId="228E5AD1" w14:textId="77777777" w:rsidTr="00DA5514">
        <w:trPr>
          <w:trHeight w:val="923"/>
        </w:trPr>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25FB73" w14:textId="77777777" w:rsidR="00DA5514" w:rsidRPr="00737AB2" w:rsidRDefault="00DA5514"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资源循环</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2C185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6.1</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E5F8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社区内以勘察和评估地区可再生能源的分布及可利用量为基础，合理利用多种可再生能源</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42929D8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有稳定热水需求的社区建筑，采用太阳能光热技术，屋顶铺设太阳能集热板，与屋顶绿化等一体化设计</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0DB2DAD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2182B29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B0D9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14806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2947DD77" w14:textId="77777777" w:rsidTr="00DA5514">
        <w:trPr>
          <w:trHeight w:val="912"/>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4A3EB959"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635978B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7A7958E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1C546DE3"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具备土壤性能条件的社区，住宅和公共建筑根据负荷，部分采用土壤源热泵系统作为空调系统的冷热源</w:t>
            </w:r>
          </w:p>
        </w:tc>
        <w:tc>
          <w:tcPr>
            <w:tcW w:w="419" w:type="pct"/>
            <w:tcBorders>
              <w:top w:val="nil"/>
              <w:left w:val="nil"/>
              <w:bottom w:val="single" w:sz="4" w:space="0" w:color="auto"/>
              <w:right w:val="single" w:sz="4" w:space="0" w:color="auto"/>
            </w:tcBorders>
            <w:shd w:val="clear" w:color="auto" w:fill="auto"/>
            <w:vAlign w:val="center"/>
            <w:hideMark/>
          </w:tcPr>
          <w:p w14:paraId="6E085A8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5185EEA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1A21F941"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2463F201"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0490C740" w14:textId="77777777" w:rsidTr="00DA5514">
        <w:trPr>
          <w:trHeight w:val="660"/>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4507F48C"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5D3D824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1BBC2C2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1CF66A6D"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公共建筑安装太阳能光电系统，采用光伏建筑一体化（BIPV）技术</w:t>
            </w:r>
          </w:p>
        </w:tc>
        <w:tc>
          <w:tcPr>
            <w:tcW w:w="419" w:type="pct"/>
            <w:tcBorders>
              <w:top w:val="nil"/>
              <w:left w:val="nil"/>
              <w:bottom w:val="single" w:sz="4" w:space="0" w:color="auto"/>
              <w:right w:val="single" w:sz="4" w:space="0" w:color="auto"/>
            </w:tcBorders>
            <w:shd w:val="clear" w:color="auto" w:fill="auto"/>
            <w:vAlign w:val="center"/>
            <w:hideMark/>
          </w:tcPr>
          <w:p w14:paraId="345D890D"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035F8D12"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03B39AB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1C44558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1EC07FD9" w14:textId="77777777" w:rsidTr="00DA5514">
        <w:trPr>
          <w:trHeight w:val="675"/>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41389B1F"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33A3C8E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6.2</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2D60360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社区内进行能源分项计量，引导用户正确消费，并为节能工作提供工作依据</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5F0606D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住宅建筑水、电、燃气分户、分类计量与收费</w:t>
            </w:r>
          </w:p>
        </w:tc>
        <w:tc>
          <w:tcPr>
            <w:tcW w:w="419" w:type="pct"/>
            <w:tcBorders>
              <w:top w:val="nil"/>
              <w:left w:val="nil"/>
              <w:bottom w:val="single" w:sz="4" w:space="0" w:color="auto"/>
              <w:right w:val="single" w:sz="4" w:space="0" w:color="auto"/>
            </w:tcBorders>
            <w:shd w:val="clear" w:color="auto" w:fill="auto"/>
            <w:vAlign w:val="center"/>
            <w:hideMark/>
          </w:tcPr>
          <w:p w14:paraId="0540F41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7E1FB7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2378D288"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6D317E2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5A249CE4" w14:textId="77777777" w:rsidTr="00DA5514">
        <w:trPr>
          <w:trHeight w:val="563"/>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59F562CD"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35DC2A7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5A54EDF7"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073A106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公共建筑耗电、冷热量等实行计量收费</w:t>
            </w:r>
          </w:p>
        </w:tc>
        <w:tc>
          <w:tcPr>
            <w:tcW w:w="419" w:type="pct"/>
            <w:tcBorders>
              <w:top w:val="nil"/>
              <w:left w:val="nil"/>
              <w:bottom w:val="single" w:sz="4" w:space="0" w:color="auto"/>
              <w:right w:val="single" w:sz="4" w:space="0" w:color="auto"/>
            </w:tcBorders>
            <w:shd w:val="clear" w:color="auto" w:fill="auto"/>
            <w:vAlign w:val="center"/>
            <w:hideMark/>
          </w:tcPr>
          <w:p w14:paraId="5994C418"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3B33A3C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471F326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12DD9833"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5DD3891A" w14:textId="77777777" w:rsidTr="00DA5514">
        <w:trPr>
          <w:trHeight w:val="1598"/>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49A3B1CA"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27E87FD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6.3</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1D7DB67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社区内合理使用非传统水源，减少自来水供水总量</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7ACEF9F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社区规划建有市政再生水管网，若周边无再生水管网或再生水管网规划，应根据功能需要配套建设中水利用设施。中水优先用于绿化灌溉、道路浇洒、洗车用水，有市政再生水供应时，采用中水入户冲厕</w:t>
            </w:r>
          </w:p>
        </w:tc>
        <w:tc>
          <w:tcPr>
            <w:tcW w:w="419" w:type="pct"/>
            <w:tcBorders>
              <w:top w:val="nil"/>
              <w:left w:val="nil"/>
              <w:bottom w:val="single" w:sz="4" w:space="0" w:color="auto"/>
              <w:right w:val="single" w:sz="4" w:space="0" w:color="auto"/>
            </w:tcBorders>
            <w:shd w:val="clear" w:color="auto" w:fill="auto"/>
            <w:noWrap/>
            <w:vAlign w:val="center"/>
            <w:hideMark/>
          </w:tcPr>
          <w:p w14:paraId="7158F5D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3</w:t>
            </w:r>
          </w:p>
        </w:tc>
        <w:tc>
          <w:tcPr>
            <w:tcW w:w="419" w:type="pct"/>
            <w:tcBorders>
              <w:top w:val="nil"/>
              <w:left w:val="nil"/>
              <w:bottom w:val="single" w:sz="4" w:space="0" w:color="auto"/>
              <w:right w:val="single" w:sz="4" w:space="0" w:color="auto"/>
            </w:tcBorders>
            <w:shd w:val="clear" w:color="auto" w:fill="auto"/>
            <w:vAlign w:val="center"/>
            <w:hideMark/>
          </w:tcPr>
          <w:p w14:paraId="7CDC030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1F6E3B1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62DD460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10A805B9" w14:textId="77777777" w:rsidTr="00DA5514">
        <w:trPr>
          <w:trHeight w:val="1005"/>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173F8423"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7ABCF67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3E477B6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575638B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利用场地空间合理设置绿色雨水基础设施，收集净化的雨水优先用于生态补水、绿化灌溉、景观用水、道路浇洒等</w:t>
            </w:r>
          </w:p>
        </w:tc>
        <w:tc>
          <w:tcPr>
            <w:tcW w:w="419" w:type="pct"/>
            <w:tcBorders>
              <w:top w:val="nil"/>
              <w:left w:val="nil"/>
              <w:bottom w:val="single" w:sz="4" w:space="0" w:color="auto"/>
              <w:right w:val="single" w:sz="4" w:space="0" w:color="auto"/>
            </w:tcBorders>
            <w:shd w:val="clear" w:color="auto" w:fill="auto"/>
            <w:vAlign w:val="center"/>
            <w:hideMark/>
          </w:tcPr>
          <w:p w14:paraId="21C9DE6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5866ECA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7F92134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21FA0BE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5E6C7C7C" w14:textId="77777777" w:rsidTr="00DA5514">
        <w:trPr>
          <w:trHeight w:val="975"/>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18F04B66"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55893C9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6.4</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0CE5E04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社区内使用较高用水效率等级的卫生器具与设备</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69D97D1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社区内公共建筑和产业化装修的住宅建筑节水型器具使用率达到100%，空调设备或系统有采用节水冷却技术</w:t>
            </w:r>
          </w:p>
        </w:tc>
        <w:tc>
          <w:tcPr>
            <w:tcW w:w="419" w:type="pct"/>
            <w:tcBorders>
              <w:top w:val="nil"/>
              <w:left w:val="nil"/>
              <w:bottom w:val="single" w:sz="4" w:space="0" w:color="auto"/>
              <w:right w:val="single" w:sz="4" w:space="0" w:color="auto"/>
            </w:tcBorders>
            <w:shd w:val="clear" w:color="auto" w:fill="auto"/>
            <w:vAlign w:val="center"/>
            <w:hideMark/>
          </w:tcPr>
          <w:p w14:paraId="57A20818"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E1D67E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49279A9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0F62DAB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04944E83" w14:textId="77777777" w:rsidTr="00DA5514">
        <w:trPr>
          <w:trHeight w:val="330"/>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02F08621"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605654B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6AFDABB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20B10F7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绿化灌溉采用节水灌溉方式</w:t>
            </w:r>
          </w:p>
        </w:tc>
        <w:tc>
          <w:tcPr>
            <w:tcW w:w="419" w:type="pct"/>
            <w:tcBorders>
              <w:top w:val="nil"/>
              <w:left w:val="nil"/>
              <w:bottom w:val="single" w:sz="4" w:space="0" w:color="auto"/>
              <w:right w:val="single" w:sz="4" w:space="0" w:color="auto"/>
            </w:tcBorders>
            <w:shd w:val="clear" w:color="auto" w:fill="auto"/>
            <w:vAlign w:val="center"/>
            <w:hideMark/>
          </w:tcPr>
          <w:p w14:paraId="43AAA0B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3E57D6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1609A7B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0B7437F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6A16F842" w14:textId="77777777" w:rsidTr="00DA5514">
        <w:trPr>
          <w:trHeight w:val="315"/>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48949F27"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08AA716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6.5</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0DCDA59C"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社区生活垃圾分类收集并密闭运输</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25570AB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生活垃圾分类收集设施覆盖率达到100%</w:t>
            </w:r>
          </w:p>
        </w:tc>
        <w:tc>
          <w:tcPr>
            <w:tcW w:w="419" w:type="pct"/>
            <w:tcBorders>
              <w:top w:val="nil"/>
              <w:left w:val="nil"/>
              <w:bottom w:val="single" w:sz="4" w:space="0" w:color="auto"/>
              <w:right w:val="single" w:sz="4" w:space="0" w:color="auto"/>
            </w:tcBorders>
            <w:shd w:val="clear" w:color="auto" w:fill="auto"/>
            <w:vAlign w:val="center"/>
            <w:hideMark/>
          </w:tcPr>
          <w:p w14:paraId="17420AE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5BA9419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0747345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51B00E0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6400E252" w14:textId="77777777" w:rsidTr="00DA5514">
        <w:trPr>
          <w:trHeight w:val="938"/>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0E3EF464"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20324FD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452D7E5D"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D55836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合理布局小型垃圾转运站，建立社区内部生活垃圾密闭化运输体系，防止对环境的二次污染</w:t>
            </w:r>
          </w:p>
        </w:tc>
        <w:tc>
          <w:tcPr>
            <w:tcW w:w="419" w:type="pct"/>
            <w:tcBorders>
              <w:top w:val="nil"/>
              <w:left w:val="nil"/>
              <w:bottom w:val="single" w:sz="4" w:space="0" w:color="auto"/>
              <w:right w:val="single" w:sz="4" w:space="0" w:color="auto"/>
            </w:tcBorders>
            <w:shd w:val="clear" w:color="auto" w:fill="auto"/>
            <w:vAlign w:val="center"/>
            <w:hideMark/>
          </w:tcPr>
          <w:p w14:paraId="549F33E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A96056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6859D88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59D53937"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24758692" w14:textId="77777777" w:rsidTr="00DA5514">
        <w:trPr>
          <w:trHeight w:val="330"/>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10F760D9"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14:paraId="7D4B1E6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45D935E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38F5771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社区内装修垃圾实施分类存放，及时清运</w:t>
            </w:r>
          </w:p>
        </w:tc>
        <w:tc>
          <w:tcPr>
            <w:tcW w:w="419" w:type="pct"/>
            <w:tcBorders>
              <w:top w:val="nil"/>
              <w:left w:val="nil"/>
              <w:bottom w:val="single" w:sz="4" w:space="0" w:color="auto"/>
              <w:right w:val="single" w:sz="4" w:space="0" w:color="auto"/>
            </w:tcBorders>
            <w:shd w:val="clear" w:color="auto" w:fill="auto"/>
            <w:vAlign w:val="center"/>
            <w:hideMark/>
          </w:tcPr>
          <w:p w14:paraId="3BE7AD7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41F57EF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shd w:val="clear" w:color="auto" w:fill="auto"/>
            <w:vAlign w:val="center"/>
            <w:hideMark/>
          </w:tcPr>
          <w:p w14:paraId="0214F5C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shd w:val="clear" w:color="auto" w:fill="auto"/>
            <w:vAlign w:val="center"/>
            <w:hideMark/>
          </w:tcPr>
          <w:p w14:paraId="79253BD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7B839F34" w14:textId="77777777" w:rsidTr="00DA5514">
        <w:trPr>
          <w:trHeight w:val="1215"/>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4BB842F7"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tcBorders>
              <w:top w:val="nil"/>
              <w:left w:val="nil"/>
              <w:bottom w:val="single" w:sz="4" w:space="0" w:color="auto"/>
              <w:right w:val="single" w:sz="4" w:space="0" w:color="auto"/>
            </w:tcBorders>
            <w:shd w:val="clear" w:color="auto" w:fill="auto"/>
            <w:vAlign w:val="center"/>
            <w:hideMark/>
          </w:tcPr>
          <w:p w14:paraId="76EDD2D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6.6</w:t>
            </w:r>
          </w:p>
        </w:tc>
        <w:tc>
          <w:tcPr>
            <w:tcW w:w="889" w:type="pct"/>
            <w:tcBorders>
              <w:top w:val="nil"/>
              <w:left w:val="nil"/>
              <w:bottom w:val="single" w:sz="4" w:space="0" w:color="auto"/>
              <w:right w:val="single" w:sz="4" w:space="0" w:color="auto"/>
            </w:tcBorders>
            <w:shd w:val="clear" w:color="auto" w:fill="auto"/>
            <w:vAlign w:val="center"/>
            <w:hideMark/>
          </w:tcPr>
          <w:p w14:paraId="1CBEB5DC"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社区内的厨余垃圾能够实现就地集中收集，设有厨余垃圾处理装置（站），并正常运行</w:t>
            </w:r>
          </w:p>
        </w:tc>
        <w:tc>
          <w:tcPr>
            <w:tcW w:w="1476" w:type="pct"/>
            <w:tcBorders>
              <w:top w:val="single" w:sz="4" w:space="0" w:color="auto"/>
              <w:left w:val="nil"/>
              <w:bottom w:val="single" w:sz="4" w:space="0" w:color="auto"/>
              <w:right w:val="single" w:sz="4" w:space="0" w:color="000000"/>
            </w:tcBorders>
            <w:shd w:val="clear" w:color="auto" w:fill="auto"/>
            <w:vAlign w:val="center"/>
            <w:hideMark/>
          </w:tcPr>
          <w:p w14:paraId="5B538978"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w:t>
            </w:r>
          </w:p>
        </w:tc>
        <w:tc>
          <w:tcPr>
            <w:tcW w:w="419" w:type="pct"/>
            <w:tcBorders>
              <w:top w:val="nil"/>
              <w:left w:val="nil"/>
              <w:bottom w:val="single" w:sz="4" w:space="0" w:color="auto"/>
              <w:right w:val="single" w:sz="4" w:space="0" w:color="auto"/>
            </w:tcBorders>
            <w:shd w:val="clear" w:color="auto" w:fill="auto"/>
            <w:vAlign w:val="center"/>
            <w:hideMark/>
          </w:tcPr>
          <w:p w14:paraId="2ECDA48D"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222E748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nil"/>
              <w:left w:val="nil"/>
              <w:bottom w:val="single" w:sz="4" w:space="0" w:color="auto"/>
              <w:right w:val="single" w:sz="4" w:space="0" w:color="auto"/>
            </w:tcBorders>
            <w:shd w:val="clear" w:color="auto" w:fill="auto"/>
            <w:vAlign w:val="center"/>
            <w:hideMark/>
          </w:tcPr>
          <w:p w14:paraId="6B39984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1B93432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10F00A13" w14:textId="77777777" w:rsidTr="00505AEA">
        <w:trPr>
          <w:trHeight w:val="127"/>
        </w:trPr>
        <w:tc>
          <w:tcPr>
            <w:tcW w:w="41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CB6A30" w14:textId="66B021A7" w:rsidR="00DA5514" w:rsidRPr="00737AB2" w:rsidRDefault="00DA5514" w:rsidP="00C66291">
            <w:pPr>
              <w:widowControl/>
              <w:spacing w:line="240" w:lineRule="auto"/>
              <w:ind w:firstLineChars="0" w:firstLine="0"/>
              <w:jc w:val="center"/>
              <w:rPr>
                <w:rFonts w:ascii="宋体" w:hAnsi="宋体" w:cs="宋体" w:hint="eastAsia"/>
                <w:color w:val="000000"/>
                <w:kern w:val="0"/>
                <w:sz w:val="22"/>
              </w:rPr>
            </w:pPr>
            <w:r>
              <w:rPr>
                <w:rFonts w:ascii="宋体" w:hAnsi="宋体" w:cs="宋体" w:hint="eastAsia"/>
                <w:color w:val="000000"/>
                <w:kern w:val="0"/>
                <w:sz w:val="22"/>
              </w:rPr>
              <w:t>合计</w:t>
            </w:r>
          </w:p>
        </w:tc>
        <w:tc>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75120" w14:textId="77777777" w:rsidR="00DA5514" w:rsidRPr="00737AB2" w:rsidRDefault="00DA5514" w:rsidP="00C66291">
            <w:pPr>
              <w:widowControl/>
              <w:spacing w:line="240" w:lineRule="auto"/>
              <w:ind w:firstLineChars="0" w:firstLine="0"/>
              <w:jc w:val="center"/>
              <w:rPr>
                <w:rFonts w:ascii="宋体" w:hAnsi="宋体" w:cs="宋体" w:hint="eastAsia"/>
                <w:color w:val="000000"/>
                <w:kern w:val="0"/>
                <w:sz w:val="22"/>
              </w:rPr>
            </w:pPr>
          </w:p>
        </w:tc>
      </w:tr>
    </w:tbl>
    <w:p w14:paraId="6469ACBC" w14:textId="77777777" w:rsidR="00DA5514" w:rsidRDefault="00DA5514" w:rsidP="00DA5514">
      <w:pPr>
        <w:ind w:firstLine="480"/>
      </w:pPr>
      <w:r>
        <w:rPr>
          <w:rFonts w:hint="eastAsia"/>
        </w:rPr>
        <w:t>对每项进行</w:t>
      </w:r>
      <w:r w:rsidRPr="00915C9A">
        <w:rPr>
          <w:rFonts w:hint="eastAsia"/>
        </w:rPr>
        <w:t>自评得分</w:t>
      </w:r>
      <w:r>
        <w:rPr>
          <w:rFonts w:hint="eastAsia"/>
        </w:rPr>
        <w:t>、得分说明，提交证明材料，格式如下：</w:t>
      </w:r>
    </w:p>
    <w:p w14:paraId="45149505" w14:textId="4B8E57A9" w:rsidR="00DA5514" w:rsidRDefault="00DA5514" w:rsidP="00DA5514">
      <w:pPr>
        <w:ind w:firstLine="480"/>
      </w:pPr>
      <w:r>
        <w:t>6</w:t>
      </w:r>
      <w:r>
        <w:rPr>
          <w:rFonts w:hint="eastAsia"/>
        </w:rPr>
        <w:t>.1</w:t>
      </w:r>
      <w:r w:rsidRPr="00DA5514">
        <w:rPr>
          <w:rFonts w:hint="eastAsia"/>
        </w:rPr>
        <w:t>社区内以勘察和评估地区可再生能源的分布及可利用量为基础，合理利用多种可再生能源</w:t>
      </w:r>
      <w:r>
        <w:rPr>
          <w:rFonts w:hint="eastAsia"/>
        </w:rPr>
        <w:t>。</w:t>
      </w:r>
    </w:p>
    <w:p w14:paraId="41A5A9CC" w14:textId="77777777" w:rsidR="00DA5514" w:rsidRDefault="00DA5514" w:rsidP="00DA5514">
      <w:pPr>
        <w:ind w:firstLine="480"/>
      </w:pPr>
      <w:r>
        <w:t>1</w:t>
      </w:r>
      <w:r>
        <w:rPr>
          <w:rFonts w:hint="eastAsia"/>
        </w:rPr>
        <w:t>）</w:t>
      </w:r>
      <w:r w:rsidRPr="00915C9A">
        <w:rPr>
          <w:rFonts w:hint="eastAsia"/>
        </w:rPr>
        <w:t>自评得分</w:t>
      </w:r>
      <w:r>
        <w:rPr>
          <w:rFonts w:hint="eastAsia"/>
        </w:rPr>
        <w:t>：</w:t>
      </w:r>
    </w:p>
    <w:p w14:paraId="0B6FCDCE" w14:textId="77777777" w:rsidR="00DA5514" w:rsidRPr="00915C9A" w:rsidRDefault="00DA5514" w:rsidP="00DA5514">
      <w:pPr>
        <w:ind w:firstLine="480"/>
      </w:pPr>
      <w:r w:rsidRPr="00915C9A">
        <w:t>2</w:t>
      </w:r>
      <w:r>
        <w:rPr>
          <w:rFonts w:hint="eastAsia"/>
        </w:rPr>
        <w:t>）</w:t>
      </w:r>
      <w:r w:rsidRPr="00915C9A">
        <w:rPr>
          <w:rFonts w:hint="eastAsia"/>
        </w:rPr>
        <w:t>得分说明：简要说明得分原因</w:t>
      </w:r>
      <w:r>
        <w:rPr>
          <w:rFonts w:hint="eastAsia"/>
        </w:rPr>
        <w:t>，如有计算过程请说明计算过程。</w:t>
      </w:r>
    </w:p>
    <w:p w14:paraId="5B371161" w14:textId="77777777" w:rsidR="00DA5514" w:rsidRDefault="00DA5514" w:rsidP="00DA5514">
      <w:pPr>
        <w:ind w:firstLine="480"/>
      </w:pPr>
      <w:r w:rsidRPr="00915C9A">
        <w:t>3</w:t>
      </w:r>
      <w:r>
        <w:rPr>
          <w:rFonts w:hint="eastAsia"/>
        </w:rPr>
        <w:t>）</w:t>
      </w:r>
      <w:r w:rsidRPr="00915C9A">
        <w:rPr>
          <w:rFonts w:hint="eastAsia"/>
        </w:rPr>
        <w:t>证明材料：注明实际提交材料名称，标</w:t>
      </w:r>
      <w:r>
        <w:rPr>
          <w:rFonts w:hint="eastAsia"/>
        </w:rPr>
        <w:t>注</w:t>
      </w:r>
      <w:r w:rsidRPr="00915C9A">
        <w:rPr>
          <w:rFonts w:hint="eastAsia"/>
        </w:rPr>
        <w:t>清楚得分项在证明材料中的具体位置</w:t>
      </w:r>
      <w:r>
        <w:rPr>
          <w:rFonts w:hint="eastAsia"/>
        </w:rPr>
        <w:t>。</w:t>
      </w:r>
    </w:p>
    <w:p w14:paraId="58353458" w14:textId="76FDFC2E" w:rsidR="00DA5514" w:rsidRDefault="00DA5514" w:rsidP="00915C9A">
      <w:pPr>
        <w:ind w:firstLine="480"/>
      </w:pPr>
      <w:r>
        <w:br w:type="page"/>
      </w:r>
    </w:p>
    <w:p w14:paraId="08C056EB" w14:textId="496C8E49" w:rsidR="00DA5514" w:rsidRDefault="00DA5514" w:rsidP="00DA5514">
      <w:pPr>
        <w:pStyle w:val="2"/>
      </w:pPr>
      <w:r>
        <w:rPr>
          <w:rFonts w:hint="eastAsia"/>
        </w:rPr>
        <w:lastRenderedPageBreak/>
        <w:t>7</w:t>
      </w:r>
      <w:r>
        <w:rPr>
          <w:rFonts w:hint="eastAsia"/>
        </w:rPr>
        <w:t>、</w:t>
      </w:r>
      <w:r w:rsidRPr="00737AB2">
        <w:rPr>
          <w:rFonts w:ascii="宋体" w:hAnsi="宋体" w:cs="宋体" w:hint="eastAsia"/>
          <w:color w:val="000000"/>
          <w:kern w:val="0"/>
          <w:sz w:val="22"/>
        </w:rPr>
        <w:t>绿色交通</w:t>
      </w:r>
    </w:p>
    <w:tbl>
      <w:tblPr>
        <w:tblW w:w="5000" w:type="pct"/>
        <w:tblLook w:val="04A0" w:firstRow="1" w:lastRow="0" w:firstColumn="1" w:lastColumn="0" w:noHBand="0" w:noVBand="1"/>
      </w:tblPr>
      <w:tblGrid>
        <w:gridCol w:w="717"/>
        <w:gridCol w:w="876"/>
        <w:gridCol w:w="1475"/>
        <w:gridCol w:w="2449"/>
        <w:gridCol w:w="695"/>
        <w:gridCol w:w="695"/>
        <w:gridCol w:w="695"/>
        <w:gridCol w:w="694"/>
      </w:tblGrid>
      <w:tr w:rsidR="00DA5514" w:rsidRPr="00DA5514" w14:paraId="603707D5" w14:textId="77777777" w:rsidTr="00505AEA">
        <w:trPr>
          <w:trHeight w:val="508"/>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B37E1" w14:textId="77777777" w:rsidR="00DA5514" w:rsidRPr="00DA5514" w:rsidRDefault="00DA5514" w:rsidP="00C66291">
            <w:pPr>
              <w:widowControl/>
              <w:spacing w:line="240" w:lineRule="auto"/>
              <w:ind w:firstLineChars="0" w:firstLine="0"/>
              <w:jc w:val="center"/>
              <w:rPr>
                <w:rFonts w:ascii="宋体" w:hAnsi="宋体" w:cs="宋体"/>
                <w:b/>
                <w:bCs/>
                <w:color w:val="000000"/>
                <w:kern w:val="0"/>
                <w:sz w:val="22"/>
              </w:rPr>
            </w:pPr>
            <w:r w:rsidRPr="00DA5514">
              <w:rPr>
                <w:rFonts w:ascii="宋体" w:hAnsi="宋体" w:cs="宋体" w:hint="eastAsia"/>
                <w:b/>
                <w:bCs/>
                <w:color w:val="000000"/>
                <w:kern w:val="0"/>
                <w:sz w:val="22"/>
              </w:rPr>
              <w:t>指标类别</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BA60D"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编码</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E2F77"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评价类别</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020FD3E8" w14:textId="77777777" w:rsidR="00DA5514" w:rsidRPr="00DA5514" w:rsidRDefault="00DA5514" w:rsidP="00DA5514">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评价内容</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34411F6F"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评价档次</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415FA8FD"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自评分</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2BD37"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自评得分</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1AF83" w14:textId="77777777" w:rsidR="00DA5514" w:rsidRPr="00DA5514" w:rsidRDefault="00DA5514" w:rsidP="00C66291">
            <w:pPr>
              <w:widowControl/>
              <w:spacing w:line="240" w:lineRule="auto"/>
              <w:ind w:firstLineChars="0" w:firstLine="0"/>
              <w:jc w:val="center"/>
              <w:rPr>
                <w:rFonts w:ascii="宋体" w:hAnsi="宋体" w:cs="宋体"/>
                <w:b/>
                <w:color w:val="000000"/>
                <w:kern w:val="0"/>
                <w:sz w:val="22"/>
              </w:rPr>
            </w:pPr>
            <w:r w:rsidRPr="00DA5514">
              <w:rPr>
                <w:rFonts w:ascii="宋体" w:hAnsi="宋体" w:cs="宋体" w:hint="eastAsia"/>
                <w:b/>
                <w:color w:val="000000"/>
                <w:kern w:val="0"/>
                <w:sz w:val="22"/>
              </w:rPr>
              <w:t>备注</w:t>
            </w:r>
          </w:p>
        </w:tc>
      </w:tr>
      <w:tr w:rsidR="00DA5514" w:rsidRPr="00737AB2" w14:paraId="55EAE212" w14:textId="77777777" w:rsidTr="00DA5514">
        <w:trPr>
          <w:trHeight w:val="720"/>
        </w:trPr>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691531" w14:textId="77777777" w:rsidR="00DA5514" w:rsidRPr="00737AB2" w:rsidRDefault="00DA5514" w:rsidP="00C66291">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绿色交通</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5EC71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7.1</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9032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bookmarkStart w:id="3" w:name="_Hlk498620625"/>
            <w:r w:rsidRPr="00737AB2">
              <w:rPr>
                <w:rFonts w:ascii="宋体" w:hAnsi="宋体" w:cs="宋体" w:hint="eastAsia"/>
                <w:color w:val="000000"/>
                <w:kern w:val="0"/>
                <w:sz w:val="22"/>
              </w:rPr>
              <w:t>社区周边设置有公共交通站点，方便居民选择公共交通出行</w:t>
            </w:r>
            <w:bookmarkEnd w:id="3"/>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53CB507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社区主要出入口的步行范围内设置公交站点，100%人口至社区外公交站点＜500米</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39DB39A7"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2A3F93A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0F912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F92AD"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26B672CD" w14:textId="77777777" w:rsidTr="00DA5514">
        <w:trPr>
          <w:trHeight w:val="923"/>
        </w:trPr>
        <w:tc>
          <w:tcPr>
            <w:tcW w:w="432" w:type="pct"/>
            <w:vMerge/>
            <w:tcBorders>
              <w:top w:val="nil"/>
              <w:left w:val="single" w:sz="4" w:space="0" w:color="auto"/>
              <w:bottom w:val="single" w:sz="4" w:space="0" w:color="000000"/>
              <w:right w:val="single" w:sz="4" w:space="0" w:color="auto"/>
            </w:tcBorders>
            <w:vAlign w:val="center"/>
            <w:hideMark/>
          </w:tcPr>
          <w:p w14:paraId="2EEFA39B"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3A644DB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35057E1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2EC2ABFE"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大型社区提供多元化公交服务，增设循环巴士和迷你巴士等公交路线，解决“最后一公里”出行</w:t>
            </w:r>
          </w:p>
        </w:tc>
        <w:tc>
          <w:tcPr>
            <w:tcW w:w="419" w:type="pct"/>
            <w:tcBorders>
              <w:top w:val="nil"/>
              <w:left w:val="nil"/>
              <w:bottom w:val="single" w:sz="4" w:space="0" w:color="auto"/>
              <w:right w:val="single" w:sz="4" w:space="0" w:color="auto"/>
            </w:tcBorders>
            <w:shd w:val="clear" w:color="auto" w:fill="auto"/>
            <w:vAlign w:val="center"/>
            <w:hideMark/>
          </w:tcPr>
          <w:p w14:paraId="7D4D0A3C"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F8E8D4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6ACE5213"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082FA41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12A35712" w14:textId="77777777" w:rsidTr="00DA5514">
        <w:trPr>
          <w:trHeight w:val="1583"/>
        </w:trPr>
        <w:tc>
          <w:tcPr>
            <w:tcW w:w="432" w:type="pct"/>
            <w:vMerge/>
            <w:tcBorders>
              <w:top w:val="nil"/>
              <w:left w:val="single" w:sz="4" w:space="0" w:color="auto"/>
              <w:bottom w:val="single" w:sz="4" w:space="0" w:color="000000"/>
              <w:right w:val="single" w:sz="4" w:space="0" w:color="auto"/>
            </w:tcBorders>
            <w:vAlign w:val="center"/>
            <w:hideMark/>
          </w:tcPr>
          <w:p w14:paraId="405EECA7"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tcBorders>
              <w:top w:val="nil"/>
              <w:left w:val="nil"/>
              <w:bottom w:val="single" w:sz="4" w:space="0" w:color="auto"/>
              <w:right w:val="single" w:sz="4" w:space="0" w:color="auto"/>
            </w:tcBorders>
            <w:shd w:val="clear" w:color="auto" w:fill="auto"/>
            <w:vAlign w:val="center"/>
            <w:hideMark/>
          </w:tcPr>
          <w:p w14:paraId="14A995C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7.2</w:t>
            </w:r>
          </w:p>
        </w:tc>
        <w:tc>
          <w:tcPr>
            <w:tcW w:w="889" w:type="pct"/>
            <w:tcBorders>
              <w:top w:val="nil"/>
              <w:left w:val="nil"/>
              <w:bottom w:val="single" w:sz="4" w:space="0" w:color="auto"/>
              <w:right w:val="single" w:sz="4" w:space="0" w:color="auto"/>
            </w:tcBorders>
            <w:shd w:val="clear" w:color="auto" w:fill="auto"/>
            <w:vAlign w:val="center"/>
            <w:hideMark/>
          </w:tcPr>
          <w:p w14:paraId="48E3448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社区交通导向清晰。社区出入口设置清晰、明确的社区地图，提供清晰、明确的交通导向指引</w:t>
            </w:r>
          </w:p>
        </w:tc>
        <w:tc>
          <w:tcPr>
            <w:tcW w:w="1476" w:type="pct"/>
            <w:tcBorders>
              <w:top w:val="single" w:sz="4" w:space="0" w:color="auto"/>
              <w:left w:val="nil"/>
              <w:bottom w:val="single" w:sz="4" w:space="0" w:color="auto"/>
              <w:right w:val="single" w:sz="4" w:space="0" w:color="000000"/>
            </w:tcBorders>
            <w:shd w:val="clear" w:color="auto" w:fill="auto"/>
            <w:vAlign w:val="center"/>
            <w:hideMark/>
          </w:tcPr>
          <w:p w14:paraId="51C92EC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w:t>
            </w:r>
          </w:p>
        </w:tc>
        <w:tc>
          <w:tcPr>
            <w:tcW w:w="419" w:type="pct"/>
            <w:tcBorders>
              <w:top w:val="nil"/>
              <w:left w:val="nil"/>
              <w:bottom w:val="single" w:sz="4" w:space="0" w:color="auto"/>
              <w:right w:val="single" w:sz="4" w:space="0" w:color="auto"/>
            </w:tcBorders>
            <w:shd w:val="clear" w:color="auto" w:fill="auto"/>
            <w:vAlign w:val="center"/>
            <w:hideMark/>
          </w:tcPr>
          <w:p w14:paraId="2E14A7E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979AB9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nil"/>
              <w:left w:val="nil"/>
              <w:bottom w:val="single" w:sz="4" w:space="0" w:color="auto"/>
              <w:right w:val="single" w:sz="4" w:space="0" w:color="auto"/>
            </w:tcBorders>
            <w:shd w:val="clear" w:color="auto" w:fill="auto"/>
            <w:vAlign w:val="center"/>
            <w:hideMark/>
          </w:tcPr>
          <w:p w14:paraId="7BB9CBC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21CB630B"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5E12E92A" w14:textId="77777777" w:rsidTr="00DA5514">
        <w:trPr>
          <w:trHeight w:val="1200"/>
        </w:trPr>
        <w:tc>
          <w:tcPr>
            <w:tcW w:w="432" w:type="pct"/>
            <w:vMerge/>
            <w:tcBorders>
              <w:top w:val="nil"/>
              <w:left w:val="single" w:sz="4" w:space="0" w:color="auto"/>
              <w:bottom w:val="single" w:sz="4" w:space="0" w:color="000000"/>
              <w:right w:val="single" w:sz="4" w:space="0" w:color="auto"/>
            </w:tcBorders>
            <w:vAlign w:val="center"/>
            <w:hideMark/>
          </w:tcPr>
          <w:p w14:paraId="1F4FF840"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59F3774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7.3</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6C32E7C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社区步行系统安全、连续、环境良好</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7F3B8F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社区采取完全人车分流，为机动车设置单向的环形路线，实现单进单出的车辆管理，减少机动车和骑行者、步行者之间的冲突和干扰，并做到人行优先</w:t>
            </w:r>
          </w:p>
        </w:tc>
        <w:tc>
          <w:tcPr>
            <w:tcW w:w="419" w:type="pct"/>
            <w:tcBorders>
              <w:top w:val="nil"/>
              <w:left w:val="nil"/>
              <w:bottom w:val="single" w:sz="4" w:space="0" w:color="auto"/>
              <w:right w:val="single" w:sz="4" w:space="0" w:color="auto"/>
            </w:tcBorders>
            <w:shd w:val="clear" w:color="auto" w:fill="auto"/>
            <w:vAlign w:val="center"/>
            <w:hideMark/>
          </w:tcPr>
          <w:p w14:paraId="5C0B50DD"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392A219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2057D954"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653930D3"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4C6F1D75" w14:textId="77777777" w:rsidTr="00DA5514">
        <w:trPr>
          <w:trHeight w:val="323"/>
        </w:trPr>
        <w:tc>
          <w:tcPr>
            <w:tcW w:w="432" w:type="pct"/>
            <w:vMerge/>
            <w:tcBorders>
              <w:top w:val="nil"/>
              <w:left w:val="single" w:sz="4" w:space="0" w:color="auto"/>
              <w:bottom w:val="single" w:sz="4" w:space="0" w:color="000000"/>
              <w:right w:val="single" w:sz="4" w:space="0" w:color="auto"/>
            </w:tcBorders>
            <w:vAlign w:val="center"/>
            <w:hideMark/>
          </w:tcPr>
          <w:p w14:paraId="1687DA49"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74CDD6D1"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17B707E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63B661F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步行道连续，净宽度不小于1.2 m</w:t>
            </w:r>
          </w:p>
        </w:tc>
        <w:tc>
          <w:tcPr>
            <w:tcW w:w="419" w:type="pct"/>
            <w:tcBorders>
              <w:top w:val="nil"/>
              <w:left w:val="nil"/>
              <w:bottom w:val="single" w:sz="4" w:space="0" w:color="auto"/>
              <w:right w:val="single" w:sz="4" w:space="0" w:color="auto"/>
            </w:tcBorders>
            <w:shd w:val="clear" w:color="auto" w:fill="auto"/>
            <w:vAlign w:val="center"/>
            <w:hideMark/>
          </w:tcPr>
          <w:p w14:paraId="66D8F3A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C0947D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7B15864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03CC373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743F0A9C" w14:textId="77777777" w:rsidTr="00DA5514">
        <w:trPr>
          <w:trHeight w:val="690"/>
        </w:trPr>
        <w:tc>
          <w:tcPr>
            <w:tcW w:w="432" w:type="pct"/>
            <w:vMerge/>
            <w:tcBorders>
              <w:top w:val="nil"/>
              <w:left w:val="single" w:sz="4" w:space="0" w:color="auto"/>
              <w:bottom w:val="single" w:sz="4" w:space="0" w:color="000000"/>
              <w:right w:val="single" w:sz="4" w:space="0" w:color="auto"/>
            </w:tcBorders>
            <w:vAlign w:val="center"/>
            <w:hideMark/>
          </w:tcPr>
          <w:p w14:paraId="5DCA0198"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29AC1A3C"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4A77267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000000"/>
            </w:tcBorders>
            <w:shd w:val="clear" w:color="auto" w:fill="auto"/>
            <w:vAlign w:val="bottom"/>
            <w:hideMark/>
          </w:tcPr>
          <w:p w14:paraId="580CA08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步行道旁种植绿带，为出行者提供良好的遮荫避雨空间</w:t>
            </w:r>
          </w:p>
        </w:tc>
        <w:tc>
          <w:tcPr>
            <w:tcW w:w="419" w:type="pct"/>
            <w:tcBorders>
              <w:top w:val="nil"/>
              <w:left w:val="nil"/>
              <w:bottom w:val="single" w:sz="4" w:space="0" w:color="auto"/>
              <w:right w:val="single" w:sz="4" w:space="0" w:color="auto"/>
            </w:tcBorders>
            <w:shd w:val="clear" w:color="auto" w:fill="auto"/>
            <w:vAlign w:val="center"/>
            <w:hideMark/>
          </w:tcPr>
          <w:p w14:paraId="7777B62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469314B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138D71C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345321A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1D90ED3E" w14:textId="77777777" w:rsidTr="00DA5514">
        <w:trPr>
          <w:trHeight w:val="983"/>
        </w:trPr>
        <w:tc>
          <w:tcPr>
            <w:tcW w:w="432" w:type="pct"/>
            <w:vMerge/>
            <w:tcBorders>
              <w:top w:val="nil"/>
              <w:left w:val="single" w:sz="4" w:space="0" w:color="auto"/>
              <w:bottom w:val="single" w:sz="4" w:space="0" w:color="000000"/>
              <w:right w:val="single" w:sz="4" w:space="0" w:color="auto"/>
            </w:tcBorders>
            <w:vAlign w:val="center"/>
            <w:hideMark/>
          </w:tcPr>
          <w:p w14:paraId="3187080C"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244C742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240FB935"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0A40E7F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步行路线有吸引力，配以公共服务设施、商业网点和绿地，为行人提供更有趣、更多样的出行环境，满足休闲和健身等功能</w:t>
            </w:r>
          </w:p>
        </w:tc>
        <w:tc>
          <w:tcPr>
            <w:tcW w:w="419" w:type="pct"/>
            <w:tcBorders>
              <w:top w:val="nil"/>
              <w:left w:val="nil"/>
              <w:bottom w:val="single" w:sz="4" w:space="0" w:color="auto"/>
              <w:right w:val="single" w:sz="4" w:space="0" w:color="auto"/>
            </w:tcBorders>
            <w:shd w:val="clear" w:color="auto" w:fill="auto"/>
            <w:vAlign w:val="center"/>
            <w:hideMark/>
          </w:tcPr>
          <w:p w14:paraId="770FD408"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354626ED"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5F501AD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1F23055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1C65FA98" w14:textId="77777777" w:rsidTr="00DA5514">
        <w:trPr>
          <w:trHeight w:val="983"/>
        </w:trPr>
        <w:tc>
          <w:tcPr>
            <w:tcW w:w="432" w:type="pct"/>
            <w:vMerge/>
            <w:tcBorders>
              <w:top w:val="nil"/>
              <w:left w:val="single" w:sz="4" w:space="0" w:color="auto"/>
              <w:bottom w:val="single" w:sz="4" w:space="0" w:color="000000"/>
              <w:right w:val="single" w:sz="4" w:space="0" w:color="auto"/>
            </w:tcBorders>
            <w:vAlign w:val="center"/>
            <w:hideMark/>
          </w:tcPr>
          <w:p w14:paraId="5BEA290E"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4135ED81"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7.4</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4CE54B8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社区具有完善的机动车停车设施</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138F2F7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机动车停车位的设置规模满足需要，采用基本配建指标并作下限控制，但不超过当地规定</w:t>
            </w:r>
          </w:p>
        </w:tc>
        <w:tc>
          <w:tcPr>
            <w:tcW w:w="419" w:type="pct"/>
            <w:tcBorders>
              <w:top w:val="nil"/>
              <w:left w:val="nil"/>
              <w:bottom w:val="single" w:sz="4" w:space="0" w:color="auto"/>
              <w:right w:val="single" w:sz="4" w:space="0" w:color="auto"/>
            </w:tcBorders>
            <w:shd w:val="clear" w:color="auto" w:fill="auto"/>
            <w:vAlign w:val="center"/>
            <w:hideMark/>
          </w:tcPr>
          <w:p w14:paraId="771CD59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83C3C7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E82C8C"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4B01BAB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5AFEEE87" w14:textId="77777777" w:rsidTr="00DA5514">
        <w:trPr>
          <w:trHeight w:val="660"/>
        </w:trPr>
        <w:tc>
          <w:tcPr>
            <w:tcW w:w="432" w:type="pct"/>
            <w:vMerge/>
            <w:tcBorders>
              <w:top w:val="nil"/>
              <w:left w:val="single" w:sz="4" w:space="0" w:color="auto"/>
              <w:bottom w:val="single" w:sz="4" w:space="0" w:color="000000"/>
              <w:right w:val="single" w:sz="4" w:space="0" w:color="auto"/>
            </w:tcBorders>
            <w:vAlign w:val="center"/>
            <w:hideMark/>
          </w:tcPr>
          <w:p w14:paraId="0F4B5E75"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59735BA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399136B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12ED0B23"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保证行人步行空间，地面停车位的比例占社区停车位总供给的比例不超过10%</w:t>
            </w:r>
          </w:p>
        </w:tc>
        <w:tc>
          <w:tcPr>
            <w:tcW w:w="419" w:type="pct"/>
            <w:tcBorders>
              <w:top w:val="nil"/>
              <w:left w:val="nil"/>
              <w:bottom w:val="single" w:sz="4" w:space="0" w:color="auto"/>
              <w:right w:val="single" w:sz="4" w:space="0" w:color="auto"/>
            </w:tcBorders>
            <w:shd w:val="clear" w:color="auto" w:fill="auto"/>
            <w:vAlign w:val="center"/>
            <w:hideMark/>
          </w:tcPr>
          <w:p w14:paraId="2AD0EC79"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C0C9E9F"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7B2E0A3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304B7CC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0CC597FE" w14:textId="77777777" w:rsidTr="00DA5514">
        <w:trPr>
          <w:trHeight w:val="1005"/>
        </w:trPr>
        <w:tc>
          <w:tcPr>
            <w:tcW w:w="432" w:type="pct"/>
            <w:vMerge/>
            <w:tcBorders>
              <w:top w:val="nil"/>
              <w:left w:val="single" w:sz="4" w:space="0" w:color="auto"/>
              <w:bottom w:val="single" w:sz="4" w:space="0" w:color="000000"/>
              <w:right w:val="single" w:sz="4" w:space="0" w:color="auto"/>
            </w:tcBorders>
            <w:vAlign w:val="center"/>
            <w:hideMark/>
          </w:tcPr>
          <w:p w14:paraId="0111A423"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1CD28631"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5372D77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7C121D8"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新建及改扩的社区建筑物按以下标准建设充电设施或预留建设安装条件：居住类建筑按照配建停车位的100%规划建设</w:t>
            </w:r>
          </w:p>
        </w:tc>
        <w:tc>
          <w:tcPr>
            <w:tcW w:w="419" w:type="pct"/>
            <w:tcBorders>
              <w:top w:val="nil"/>
              <w:left w:val="nil"/>
              <w:bottom w:val="single" w:sz="4" w:space="0" w:color="auto"/>
              <w:right w:val="single" w:sz="4" w:space="0" w:color="auto"/>
            </w:tcBorders>
            <w:shd w:val="clear" w:color="auto" w:fill="auto"/>
            <w:vAlign w:val="center"/>
            <w:hideMark/>
          </w:tcPr>
          <w:p w14:paraId="473C5EB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20B81D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3E81787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07F63E6D"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11C58588" w14:textId="77777777" w:rsidTr="00DA5514">
        <w:trPr>
          <w:trHeight w:val="330"/>
        </w:trPr>
        <w:tc>
          <w:tcPr>
            <w:tcW w:w="432" w:type="pct"/>
            <w:vMerge/>
            <w:tcBorders>
              <w:top w:val="nil"/>
              <w:left w:val="single" w:sz="4" w:space="0" w:color="auto"/>
              <w:bottom w:val="single" w:sz="4" w:space="0" w:color="000000"/>
              <w:right w:val="single" w:sz="4" w:space="0" w:color="auto"/>
            </w:tcBorders>
            <w:vAlign w:val="center"/>
            <w:hideMark/>
          </w:tcPr>
          <w:p w14:paraId="1364AE30"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187B22C9"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46F2271A"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52D2DF1F"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采用立体停车设施</w:t>
            </w:r>
          </w:p>
        </w:tc>
        <w:tc>
          <w:tcPr>
            <w:tcW w:w="419" w:type="pct"/>
            <w:tcBorders>
              <w:top w:val="nil"/>
              <w:left w:val="nil"/>
              <w:bottom w:val="single" w:sz="4" w:space="0" w:color="auto"/>
              <w:right w:val="single" w:sz="4" w:space="0" w:color="auto"/>
            </w:tcBorders>
            <w:shd w:val="clear" w:color="auto" w:fill="auto"/>
            <w:vAlign w:val="center"/>
            <w:hideMark/>
          </w:tcPr>
          <w:p w14:paraId="7EC67775"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1EE1C37C"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561528D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04CB9952"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7DD7CF5A" w14:textId="77777777" w:rsidTr="00DA5514">
        <w:trPr>
          <w:trHeight w:val="949"/>
        </w:trPr>
        <w:tc>
          <w:tcPr>
            <w:tcW w:w="432" w:type="pct"/>
            <w:vMerge/>
            <w:tcBorders>
              <w:top w:val="nil"/>
              <w:left w:val="single" w:sz="4" w:space="0" w:color="auto"/>
              <w:bottom w:val="single" w:sz="4" w:space="0" w:color="000000"/>
              <w:right w:val="single" w:sz="4" w:space="0" w:color="auto"/>
            </w:tcBorders>
            <w:vAlign w:val="center"/>
            <w:hideMark/>
          </w:tcPr>
          <w:p w14:paraId="61A0625C"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60EA46DA"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7.5</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16ACF476"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社区具有充足的自行车停车设施</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042B0F7D"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社区内自行车停车数量不低于地方设计规范要求，新建、改建居住区存自行车处按每户至少2个自行车位设置</w:t>
            </w:r>
          </w:p>
        </w:tc>
        <w:tc>
          <w:tcPr>
            <w:tcW w:w="419" w:type="pct"/>
            <w:tcBorders>
              <w:top w:val="nil"/>
              <w:left w:val="nil"/>
              <w:bottom w:val="single" w:sz="4" w:space="0" w:color="auto"/>
              <w:right w:val="single" w:sz="4" w:space="0" w:color="auto"/>
            </w:tcBorders>
            <w:shd w:val="clear" w:color="auto" w:fill="auto"/>
            <w:vAlign w:val="center"/>
            <w:hideMark/>
          </w:tcPr>
          <w:p w14:paraId="02FDDFD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081F6A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74DF540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36A89E9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DA5514" w:rsidRPr="00737AB2" w14:paraId="605DD506" w14:textId="77777777" w:rsidTr="00DA5514">
        <w:trPr>
          <w:trHeight w:val="660"/>
        </w:trPr>
        <w:tc>
          <w:tcPr>
            <w:tcW w:w="432" w:type="pct"/>
            <w:vMerge/>
            <w:tcBorders>
              <w:top w:val="nil"/>
              <w:left w:val="single" w:sz="4" w:space="0" w:color="auto"/>
              <w:bottom w:val="single" w:sz="4" w:space="0" w:color="auto"/>
              <w:right w:val="single" w:sz="4" w:space="0" w:color="auto"/>
            </w:tcBorders>
            <w:vAlign w:val="center"/>
            <w:hideMark/>
          </w:tcPr>
          <w:p w14:paraId="5B3AB61E" w14:textId="77777777" w:rsidR="00DA5514" w:rsidRPr="00737AB2" w:rsidRDefault="00DA5514" w:rsidP="00C66291">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auto"/>
              <w:right w:val="single" w:sz="4" w:space="0" w:color="auto"/>
            </w:tcBorders>
            <w:vAlign w:val="center"/>
            <w:hideMark/>
          </w:tcPr>
          <w:p w14:paraId="766971A4"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46398B20"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289B2FDB"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自行车停车设施优先地面设置，采用遮阳措施</w:t>
            </w:r>
          </w:p>
        </w:tc>
        <w:tc>
          <w:tcPr>
            <w:tcW w:w="419" w:type="pct"/>
            <w:tcBorders>
              <w:top w:val="nil"/>
              <w:left w:val="nil"/>
              <w:bottom w:val="single" w:sz="4" w:space="0" w:color="auto"/>
              <w:right w:val="single" w:sz="4" w:space="0" w:color="auto"/>
            </w:tcBorders>
            <w:shd w:val="clear" w:color="auto" w:fill="auto"/>
            <w:vAlign w:val="center"/>
            <w:hideMark/>
          </w:tcPr>
          <w:p w14:paraId="6487A73E"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4327E8B0" w14:textId="77777777" w:rsidR="00DA5514" w:rsidRPr="00737AB2" w:rsidRDefault="00DA5514" w:rsidP="00C66291">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auto"/>
              <w:right w:val="single" w:sz="4" w:space="0" w:color="auto"/>
            </w:tcBorders>
            <w:vAlign w:val="center"/>
            <w:hideMark/>
          </w:tcPr>
          <w:p w14:paraId="6D1688BE"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auto"/>
              <w:right w:val="single" w:sz="4" w:space="0" w:color="auto"/>
            </w:tcBorders>
            <w:vAlign w:val="center"/>
            <w:hideMark/>
          </w:tcPr>
          <w:p w14:paraId="1488D4F1"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r w:rsidR="00DA5514" w:rsidRPr="00737AB2" w14:paraId="2F9D882F" w14:textId="77777777" w:rsidTr="00505AEA">
        <w:trPr>
          <w:trHeight w:val="56"/>
        </w:trPr>
        <w:tc>
          <w:tcPr>
            <w:tcW w:w="4163" w:type="pct"/>
            <w:gridSpan w:val="6"/>
            <w:tcBorders>
              <w:top w:val="single" w:sz="4" w:space="0" w:color="auto"/>
              <w:left w:val="single" w:sz="4" w:space="0" w:color="auto"/>
              <w:bottom w:val="single" w:sz="4" w:space="0" w:color="auto"/>
              <w:right w:val="single" w:sz="4" w:space="0" w:color="auto"/>
            </w:tcBorders>
            <w:vAlign w:val="center"/>
          </w:tcPr>
          <w:p w14:paraId="0BBAE711" w14:textId="7A4EEC72" w:rsidR="00DA5514" w:rsidRPr="00737AB2" w:rsidRDefault="00DA5514" w:rsidP="00C66291">
            <w:pPr>
              <w:widowControl/>
              <w:spacing w:line="240" w:lineRule="auto"/>
              <w:ind w:firstLineChars="0" w:firstLine="0"/>
              <w:jc w:val="center"/>
              <w:rPr>
                <w:rFonts w:ascii="宋体" w:hAnsi="宋体" w:cs="宋体" w:hint="eastAsia"/>
                <w:color w:val="000000"/>
                <w:kern w:val="0"/>
                <w:sz w:val="22"/>
              </w:rPr>
            </w:pPr>
            <w:r>
              <w:rPr>
                <w:rFonts w:ascii="宋体" w:hAnsi="宋体" w:cs="宋体" w:hint="eastAsia"/>
                <w:color w:val="000000"/>
                <w:kern w:val="0"/>
                <w:sz w:val="22"/>
              </w:rPr>
              <w:t>合计</w:t>
            </w:r>
          </w:p>
        </w:tc>
        <w:tc>
          <w:tcPr>
            <w:tcW w:w="837" w:type="pct"/>
            <w:gridSpan w:val="2"/>
            <w:tcBorders>
              <w:top w:val="single" w:sz="4" w:space="0" w:color="auto"/>
              <w:left w:val="single" w:sz="4" w:space="0" w:color="auto"/>
              <w:bottom w:val="single" w:sz="4" w:space="0" w:color="auto"/>
              <w:right w:val="single" w:sz="4" w:space="0" w:color="auto"/>
            </w:tcBorders>
            <w:vAlign w:val="center"/>
          </w:tcPr>
          <w:p w14:paraId="3ED294A6" w14:textId="77777777" w:rsidR="00DA5514" w:rsidRPr="00737AB2" w:rsidRDefault="00DA5514" w:rsidP="00C66291">
            <w:pPr>
              <w:widowControl/>
              <w:spacing w:line="240" w:lineRule="auto"/>
              <w:ind w:firstLineChars="0" w:firstLine="0"/>
              <w:jc w:val="left"/>
              <w:rPr>
                <w:rFonts w:ascii="宋体" w:hAnsi="宋体" w:cs="宋体"/>
                <w:color w:val="000000"/>
                <w:kern w:val="0"/>
                <w:sz w:val="22"/>
              </w:rPr>
            </w:pPr>
          </w:p>
        </w:tc>
      </w:tr>
    </w:tbl>
    <w:p w14:paraId="282FF681" w14:textId="77777777" w:rsidR="00C66291" w:rsidRDefault="00C66291" w:rsidP="00C66291">
      <w:pPr>
        <w:ind w:firstLine="480"/>
      </w:pPr>
      <w:r>
        <w:rPr>
          <w:rFonts w:hint="eastAsia"/>
        </w:rPr>
        <w:t>对每项进行</w:t>
      </w:r>
      <w:r w:rsidRPr="00915C9A">
        <w:rPr>
          <w:rFonts w:hint="eastAsia"/>
        </w:rPr>
        <w:t>自评得分</w:t>
      </w:r>
      <w:r>
        <w:rPr>
          <w:rFonts w:hint="eastAsia"/>
        </w:rPr>
        <w:t>、得分说明，提交证明材料，格式如下：</w:t>
      </w:r>
    </w:p>
    <w:p w14:paraId="53108DC0" w14:textId="13D4D4CD" w:rsidR="00C66291" w:rsidRDefault="00C66291" w:rsidP="00C66291">
      <w:pPr>
        <w:ind w:firstLine="480"/>
      </w:pPr>
      <w:r>
        <w:t>7</w:t>
      </w:r>
      <w:r>
        <w:rPr>
          <w:rFonts w:hint="eastAsia"/>
        </w:rPr>
        <w:t>.1</w:t>
      </w:r>
      <w:r w:rsidRPr="00C66291">
        <w:rPr>
          <w:rFonts w:hint="eastAsia"/>
        </w:rPr>
        <w:t>社区周边设置有公共交通站点，方便居民选择公共交通出行</w:t>
      </w:r>
      <w:r>
        <w:rPr>
          <w:rFonts w:hint="eastAsia"/>
        </w:rPr>
        <w:t>。</w:t>
      </w:r>
    </w:p>
    <w:p w14:paraId="3D1AE541" w14:textId="77777777" w:rsidR="00C66291" w:rsidRDefault="00C66291" w:rsidP="00C66291">
      <w:pPr>
        <w:ind w:firstLine="480"/>
      </w:pPr>
      <w:r>
        <w:t>1</w:t>
      </w:r>
      <w:r>
        <w:rPr>
          <w:rFonts w:hint="eastAsia"/>
        </w:rPr>
        <w:t>）</w:t>
      </w:r>
      <w:r w:rsidRPr="00915C9A">
        <w:rPr>
          <w:rFonts w:hint="eastAsia"/>
        </w:rPr>
        <w:t>自评得分</w:t>
      </w:r>
      <w:r>
        <w:rPr>
          <w:rFonts w:hint="eastAsia"/>
        </w:rPr>
        <w:t>：</w:t>
      </w:r>
    </w:p>
    <w:p w14:paraId="4BD9B4AC" w14:textId="77777777" w:rsidR="00C66291" w:rsidRPr="00915C9A" w:rsidRDefault="00C66291" w:rsidP="00C66291">
      <w:pPr>
        <w:ind w:firstLine="480"/>
      </w:pPr>
      <w:r w:rsidRPr="00915C9A">
        <w:t>2</w:t>
      </w:r>
      <w:r>
        <w:rPr>
          <w:rFonts w:hint="eastAsia"/>
        </w:rPr>
        <w:t>）</w:t>
      </w:r>
      <w:r w:rsidRPr="00915C9A">
        <w:rPr>
          <w:rFonts w:hint="eastAsia"/>
        </w:rPr>
        <w:t>得分说明：简要说明得分原因</w:t>
      </w:r>
      <w:r>
        <w:rPr>
          <w:rFonts w:hint="eastAsia"/>
        </w:rPr>
        <w:t>，如有计算过程请说明计算过程。</w:t>
      </w:r>
    </w:p>
    <w:p w14:paraId="79F4FDF4" w14:textId="77777777" w:rsidR="00C66291" w:rsidRDefault="00C66291" w:rsidP="00C66291">
      <w:pPr>
        <w:ind w:firstLine="480"/>
      </w:pPr>
      <w:r w:rsidRPr="00915C9A">
        <w:t>3</w:t>
      </w:r>
      <w:r>
        <w:rPr>
          <w:rFonts w:hint="eastAsia"/>
        </w:rPr>
        <w:t>）</w:t>
      </w:r>
      <w:r w:rsidRPr="00915C9A">
        <w:rPr>
          <w:rFonts w:hint="eastAsia"/>
        </w:rPr>
        <w:t>证明材料：注明实际提交材料名称，标</w:t>
      </w:r>
      <w:r>
        <w:rPr>
          <w:rFonts w:hint="eastAsia"/>
        </w:rPr>
        <w:t>注</w:t>
      </w:r>
      <w:r w:rsidRPr="00915C9A">
        <w:rPr>
          <w:rFonts w:hint="eastAsia"/>
        </w:rPr>
        <w:t>清楚得分项在证明材料中的具体位置</w:t>
      </w:r>
      <w:r>
        <w:rPr>
          <w:rFonts w:hint="eastAsia"/>
        </w:rPr>
        <w:t>。</w:t>
      </w:r>
    </w:p>
    <w:p w14:paraId="46BF60D1" w14:textId="77777777" w:rsidR="00C66291" w:rsidRDefault="00C66291" w:rsidP="00C66291">
      <w:pPr>
        <w:ind w:firstLine="480"/>
      </w:pPr>
      <w:r>
        <w:br w:type="page"/>
      </w:r>
    </w:p>
    <w:p w14:paraId="2C3C2520" w14:textId="034F18BE" w:rsidR="00DA5514" w:rsidRDefault="00C66291" w:rsidP="00C66291">
      <w:pPr>
        <w:pStyle w:val="2"/>
        <w:rPr>
          <w:rFonts w:ascii="宋体" w:hAnsi="宋体" w:cs="宋体"/>
          <w:color w:val="000000"/>
          <w:kern w:val="0"/>
          <w:sz w:val="22"/>
        </w:rPr>
      </w:pPr>
      <w:r>
        <w:rPr>
          <w:rFonts w:hint="eastAsia"/>
        </w:rPr>
        <w:lastRenderedPageBreak/>
        <w:t>8</w:t>
      </w:r>
      <w:r>
        <w:rPr>
          <w:rFonts w:hint="eastAsia"/>
        </w:rPr>
        <w:t>、</w:t>
      </w:r>
      <w:r w:rsidR="00505AEA" w:rsidRPr="00737AB2">
        <w:rPr>
          <w:rFonts w:ascii="宋体" w:hAnsi="宋体" w:cs="宋体" w:hint="eastAsia"/>
          <w:color w:val="000000"/>
          <w:kern w:val="0"/>
          <w:sz w:val="22"/>
        </w:rPr>
        <w:t>绿色建筑</w:t>
      </w:r>
    </w:p>
    <w:tbl>
      <w:tblPr>
        <w:tblW w:w="5000" w:type="pct"/>
        <w:tblLook w:val="04A0" w:firstRow="1" w:lastRow="0" w:firstColumn="1" w:lastColumn="0" w:noHBand="0" w:noVBand="1"/>
      </w:tblPr>
      <w:tblGrid>
        <w:gridCol w:w="782"/>
        <w:gridCol w:w="958"/>
        <w:gridCol w:w="1609"/>
        <w:gridCol w:w="1435"/>
        <w:gridCol w:w="1238"/>
        <w:gridCol w:w="758"/>
        <w:gridCol w:w="758"/>
        <w:gridCol w:w="758"/>
      </w:tblGrid>
      <w:tr w:rsidR="00505AEA" w:rsidRPr="00505AEA" w14:paraId="75E8E268" w14:textId="77777777" w:rsidTr="00505AEA">
        <w:trPr>
          <w:trHeight w:val="33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B887A" w14:textId="77777777" w:rsidR="00505AEA" w:rsidRPr="00505AEA" w:rsidRDefault="00505AEA" w:rsidP="00505AEA">
            <w:pPr>
              <w:widowControl/>
              <w:spacing w:line="240" w:lineRule="auto"/>
              <w:ind w:firstLineChars="0" w:firstLine="0"/>
              <w:jc w:val="center"/>
              <w:rPr>
                <w:rFonts w:ascii="宋体" w:hAnsi="宋体" w:cs="宋体"/>
                <w:b/>
                <w:bCs/>
                <w:color w:val="000000"/>
                <w:kern w:val="0"/>
                <w:sz w:val="22"/>
              </w:rPr>
            </w:pPr>
            <w:r w:rsidRPr="00505AEA">
              <w:rPr>
                <w:rFonts w:ascii="宋体" w:hAnsi="宋体" w:cs="宋体" w:hint="eastAsia"/>
                <w:b/>
                <w:bCs/>
                <w:color w:val="000000"/>
                <w:kern w:val="0"/>
                <w:sz w:val="22"/>
              </w:rPr>
              <w:t>指标类别</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F9B89"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编码</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E9EA0"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评价类别</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84162"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评价内容</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0EB11D9A"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评价档次</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3BC95DFC"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自评分</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37275980"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自评得分</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14BE1"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备注</w:t>
            </w:r>
          </w:p>
        </w:tc>
      </w:tr>
      <w:tr w:rsidR="00505AEA" w:rsidRPr="00737AB2" w14:paraId="4ABF4D40" w14:textId="77777777" w:rsidTr="00505AEA">
        <w:trPr>
          <w:trHeight w:val="330"/>
        </w:trPr>
        <w:tc>
          <w:tcPr>
            <w:tcW w:w="4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74B592" w14:textId="77777777" w:rsidR="00505AEA" w:rsidRPr="00737AB2" w:rsidRDefault="00505AEA" w:rsidP="00AE7D83">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绿色建筑</w:t>
            </w:r>
          </w:p>
        </w:tc>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68060"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8.1</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7B0A7"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社区中的建筑按照绿色建筑标准建设</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0BEF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社区中的建筑获得国家绿色建筑星级认证</w:t>
            </w:r>
          </w:p>
        </w:tc>
        <w:tc>
          <w:tcPr>
            <w:tcW w:w="746" w:type="pct"/>
            <w:tcBorders>
              <w:top w:val="single" w:sz="4" w:space="0" w:color="auto"/>
              <w:left w:val="nil"/>
              <w:bottom w:val="single" w:sz="4" w:space="0" w:color="auto"/>
              <w:right w:val="single" w:sz="4" w:space="0" w:color="auto"/>
            </w:tcBorders>
            <w:shd w:val="clear" w:color="auto" w:fill="auto"/>
            <w:vAlign w:val="bottom"/>
            <w:hideMark/>
          </w:tcPr>
          <w:p w14:paraId="5C4B3B29"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一星级</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4D297287"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4A1B8EB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3DFA7D"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344069BE" w14:textId="77777777" w:rsidTr="00505AEA">
        <w:trPr>
          <w:trHeight w:val="330"/>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14:paraId="280360CD"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14:paraId="24A55611"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970" w:type="pct"/>
            <w:vMerge/>
            <w:tcBorders>
              <w:top w:val="nil"/>
              <w:left w:val="single" w:sz="4" w:space="0" w:color="auto"/>
              <w:bottom w:val="single" w:sz="4" w:space="0" w:color="auto"/>
              <w:right w:val="single" w:sz="4" w:space="0" w:color="auto"/>
            </w:tcBorders>
            <w:shd w:val="clear" w:color="auto" w:fill="auto"/>
            <w:vAlign w:val="center"/>
            <w:hideMark/>
          </w:tcPr>
          <w:p w14:paraId="75E3897D"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65" w:type="pct"/>
            <w:vMerge/>
            <w:tcBorders>
              <w:top w:val="nil"/>
              <w:left w:val="single" w:sz="4" w:space="0" w:color="auto"/>
              <w:bottom w:val="single" w:sz="4" w:space="0" w:color="auto"/>
              <w:right w:val="single" w:sz="4" w:space="0" w:color="auto"/>
            </w:tcBorders>
            <w:shd w:val="clear" w:color="auto" w:fill="auto"/>
            <w:vAlign w:val="center"/>
            <w:hideMark/>
          </w:tcPr>
          <w:p w14:paraId="351E6CE8"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746" w:type="pct"/>
            <w:tcBorders>
              <w:top w:val="nil"/>
              <w:left w:val="nil"/>
              <w:bottom w:val="single" w:sz="4" w:space="0" w:color="auto"/>
              <w:right w:val="single" w:sz="4" w:space="0" w:color="auto"/>
            </w:tcBorders>
            <w:shd w:val="clear" w:color="auto" w:fill="auto"/>
            <w:vAlign w:val="bottom"/>
            <w:hideMark/>
          </w:tcPr>
          <w:p w14:paraId="6B44DAB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二星级</w:t>
            </w:r>
          </w:p>
        </w:tc>
        <w:tc>
          <w:tcPr>
            <w:tcW w:w="457" w:type="pct"/>
            <w:tcBorders>
              <w:top w:val="nil"/>
              <w:left w:val="nil"/>
              <w:bottom w:val="single" w:sz="4" w:space="0" w:color="auto"/>
              <w:right w:val="single" w:sz="4" w:space="0" w:color="auto"/>
            </w:tcBorders>
            <w:shd w:val="clear" w:color="auto" w:fill="auto"/>
            <w:vAlign w:val="center"/>
            <w:hideMark/>
          </w:tcPr>
          <w:p w14:paraId="4B87A7E6"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57" w:type="pct"/>
            <w:tcBorders>
              <w:top w:val="nil"/>
              <w:left w:val="nil"/>
              <w:bottom w:val="single" w:sz="4" w:space="0" w:color="auto"/>
              <w:right w:val="single" w:sz="4" w:space="0" w:color="auto"/>
            </w:tcBorders>
            <w:shd w:val="clear" w:color="auto" w:fill="auto"/>
            <w:vAlign w:val="center"/>
            <w:hideMark/>
          </w:tcPr>
          <w:p w14:paraId="2E41017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57" w:type="pct"/>
            <w:vMerge/>
            <w:tcBorders>
              <w:top w:val="nil"/>
              <w:left w:val="single" w:sz="4" w:space="0" w:color="auto"/>
              <w:bottom w:val="single" w:sz="4" w:space="0" w:color="000000"/>
              <w:right w:val="single" w:sz="4" w:space="0" w:color="auto"/>
            </w:tcBorders>
            <w:shd w:val="clear" w:color="auto" w:fill="auto"/>
            <w:vAlign w:val="center"/>
            <w:hideMark/>
          </w:tcPr>
          <w:p w14:paraId="0EE2F793"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4F3DD51A" w14:textId="77777777" w:rsidTr="00505AEA">
        <w:trPr>
          <w:trHeight w:val="270"/>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14:paraId="26255F5D"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14:paraId="02C83540"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970" w:type="pct"/>
            <w:vMerge/>
            <w:tcBorders>
              <w:top w:val="nil"/>
              <w:left w:val="single" w:sz="4" w:space="0" w:color="auto"/>
              <w:bottom w:val="single" w:sz="4" w:space="0" w:color="auto"/>
              <w:right w:val="single" w:sz="4" w:space="0" w:color="auto"/>
            </w:tcBorders>
            <w:shd w:val="clear" w:color="auto" w:fill="auto"/>
            <w:vAlign w:val="center"/>
            <w:hideMark/>
          </w:tcPr>
          <w:p w14:paraId="55AF9025"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65" w:type="pct"/>
            <w:vMerge/>
            <w:tcBorders>
              <w:top w:val="nil"/>
              <w:left w:val="single" w:sz="4" w:space="0" w:color="auto"/>
              <w:bottom w:val="single" w:sz="4" w:space="0" w:color="auto"/>
              <w:right w:val="single" w:sz="4" w:space="0" w:color="auto"/>
            </w:tcBorders>
            <w:shd w:val="clear" w:color="auto" w:fill="auto"/>
            <w:vAlign w:val="center"/>
            <w:hideMark/>
          </w:tcPr>
          <w:p w14:paraId="4B39C89D"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746" w:type="pct"/>
            <w:tcBorders>
              <w:top w:val="nil"/>
              <w:left w:val="nil"/>
              <w:bottom w:val="single" w:sz="4" w:space="0" w:color="auto"/>
              <w:right w:val="single" w:sz="4" w:space="0" w:color="auto"/>
            </w:tcBorders>
            <w:shd w:val="clear" w:color="auto" w:fill="auto"/>
            <w:vAlign w:val="bottom"/>
            <w:hideMark/>
          </w:tcPr>
          <w:p w14:paraId="02D2127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三星级</w:t>
            </w:r>
          </w:p>
        </w:tc>
        <w:tc>
          <w:tcPr>
            <w:tcW w:w="457" w:type="pct"/>
            <w:tcBorders>
              <w:top w:val="nil"/>
              <w:left w:val="nil"/>
              <w:bottom w:val="single" w:sz="4" w:space="0" w:color="auto"/>
              <w:right w:val="single" w:sz="4" w:space="0" w:color="auto"/>
            </w:tcBorders>
            <w:shd w:val="clear" w:color="auto" w:fill="auto"/>
            <w:vAlign w:val="center"/>
            <w:hideMark/>
          </w:tcPr>
          <w:p w14:paraId="501B3A7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3</w:t>
            </w:r>
          </w:p>
        </w:tc>
        <w:tc>
          <w:tcPr>
            <w:tcW w:w="457" w:type="pct"/>
            <w:tcBorders>
              <w:top w:val="nil"/>
              <w:left w:val="nil"/>
              <w:bottom w:val="single" w:sz="4" w:space="0" w:color="auto"/>
              <w:right w:val="single" w:sz="4" w:space="0" w:color="auto"/>
            </w:tcBorders>
            <w:shd w:val="clear" w:color="auto" w:fill="auto"/>
            <w:vAlign w:val="center"/>
            <w:hideMark/>
          </w:tcPr>
          <w:p w14:paraId="3F9FD6C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57" w:type="pct"/>
            <w:vMerge/>
            <w:tcBorders>
              <w:top w:val="nil"/>
              <w:left w:val="single" w:sz="4" w:space="0" w:color="auto"/>
              <w:bottom w:val="single" w:sz="4" w:space="0" w:color="000000"/>
              <w:right w:val="single" w:sz="4" w:space="0" w:color="auto"/>
            </w:tcBorders>
            <w:shd w:val="clear" w:color="auto" w:fill="auto"/>
            <w:vAlign w:val="center"/>
            <w:hideMark/>
          </w:tcPr>
          <w:p w14:paraId="71FE98EE"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3AC0A1DA" w14:textId="77777777" w:rsidTr="00505AEA">
        <w:trPr>
          <w:trHeight w:val="630"/>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14:paraId="12251CFE"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77" w:type="pct"/>
            <w:tcBorders>
              <w:top w:val="nil"/>
              <w:left w:val="nil"/>
              <w:bottom w:val="single" w:sz="4" w:space="0" w:color="auto"/>
              <w:right w:val="single" w:sz="4" w:space="0" w:color="auto"/>
            </w:tcBorders>
            <w:shd w:val="clear" w:color="auto" w:fill="auto"/>
            <w:vAlign w:val="center"/>
            <w:hideMark/>
          </w:tcPr>
          <w:p w14:paraId="34D5E7E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8.2</w:t>
            </w:r>
          </w:p>
        </w:tc>
        <w:tc>
          <w:tcPr>
            <w:tcW w:w="970" w:type="pct"/>
            <w:tcBorders>
              <w:top w:val="nil"/>
              <w:left w:val="nil"/>
              <w:bottom w:val="single" w:sz="4" w:space="0" w:color="auto"/>
              <w:right w:val="single" w:sz="4" w:space="0" w:color="auto"/>
            </w:tcBorders>
            <w:shd w:val="clear" w:color="auto" w:fill="auto"/>
            <w:vAlign w:val="center"/>
            <w:hideMark/>
          </w:tcPr>
          <w:p w14:paraId="0D2D980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建筑节地</w:t>
            </w:r>
          </w:p>
        </w:tc>
        <w:tc>
          <w:tcPr>
            <w:tcW w:w="1611" w:type="pct"/>
            <w:gridSpan w:val="2"/>
            <w:tcBorders>
              <w:top w:val="single" w:sz="4" w:space="0" w:color="auto"/>
              <w:left w:val="nil"/>
              <w:bottom w:val="single" w:sz="4" w:space="0" w:color="auto"/>
              <w:right w:val="single" w:sz="4" w:space="0" w:color="auto"/>
            </w:tcBorders>
            <w:shd w:val="clear" w:color="auto" w:fill="auto"/>
            <w:vAlign w:val="bottom"/>
            <w:hideMark/>
          </w:tcPr>
          <w:p w14:paraId="292D1C1B"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居住建筑社区人均用地指标小于</w:t>
            </w:r>
            <w:r w:rsidRPr="00737AB2">
              <w:rPr>
                <w:rFonts w:ascii="Calibri" w:hAnsi="Calibri" w:cs="Calibri"/>
                <w:color w:val="000000"/>
                <w:kern w:val="0"/>
                <w:sz w:val="22"/>
              </w:rPr>
              <w:t>30</w:t>
            </w:r>
            <w:r w:rsidRPr="00737AB2">
              <w:rPr>
                <w:rFonts w:ascii="宋体" w:hAnsi="宋体" w:cs="宋体" w:hint="eastAsia"/>
                <w:color w:val="000000"/>
                <w:kern w:val="0"/>
                <w:sz w:val="22"/>
              </w:rPr>
              <w:t>平方米，公共建筑社区容积率大于</w:t>
            </w:r>
            <w:r w:rsidRPr="00737AB2">
              <w:rPr>
                <w:rFonts w:ascii="Calibri" w:hAnsi="Calibri" w:cs="Calibri"/>
                <w:color w:val="000000"/>
                <w:kern w:val="0"/>
                <w:sz w:val="22"/>
              </w:rPr>
              <w:t>3.5</w:t>
            </w:r>
          </w:p>
        </w:tc>
        <w:tc>
          <w:tcPr>
            <w:tcW w:w="457" w:type="pct"/>
            <w:tcBorders>
              <w:top w:val="nil"/>
              <w:left w:val="nil"/>
              <w:bottom w:val="single" w:sz="4" w:space="0" w:color="auto"/>
              <w:right w:val="single" w:sz="4" w:space="0" w:color="auto"/>
            </w:tcBorders>
            <w:shd w:val="clear" w:color="auto" w:fill="auto"/>
            <w:vAlign w:val="center"/>
            <w:hideMark/>
          </w:tcPr>
          <w:p w14:paraId="429C050F"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57" w:type="pct"/>
            <w:tcBorders>
              <w:top w:val="nil"/>
              <w:left w:val="nil"/>
              <w:bottom w:val="single" w:sz="4" w:space="0" w:color="auto"/>
              <w:right w:val="single" w:sz="4" w:space="0" w:color="auto"/>
            </w:tcBorders>
            <w:shd w:val="clear" w:color="auto" w:fill="auto"/>
            <w:vAlign w:val="center"/>
            <w:hideMark/>
          </w:tcPr>
          <w:p w14:paraId="767AF4B3"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57" w:type="pct"/>
            <w:tcBorders>
              <w:top w:val="nil"/>
              <w:left w:val="nil"/>
              <w:bottom w:val="single" w:sz="4" w:space="0" w:color="auto"/>
              <w:right w:val="single" w:sz="4" w:space="0" w:color="auto"/>
            </w:tcBorders>
            <w:shd w:val="clear" w:color="auto" w:fill="auto"/>
            <w:vAlign w:val="center"/>
            <w:hideMark/>
          </w:tcPr>
          <w:p w14:paraId="660A789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049FDAD8" w14:textId="77777777" w:rsidTr="00505AEA">
        <w:trPr>
          <w:trHeight w:val="570"/>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14:paraId="0B0E0B1B"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77" w:type="pct"/>
            <w:tcBorders>
              <w:top w:val="nil"/>
              <w:left w:val="nil"/>
              <w:bottom w:val="single" w:sz="4" w:space="0" w:color="auto"/>
              <w:right w:val="single" w:sz="4" w:space="0" w:color="auto"/>
            </w:tcBorders>
            <w:shd w:val="clear" w:color="auto" w:fill="auto"/>
            <w:vAlign w:val="center"/>
            <w:hideMark/>
          </w:tcPr>
          <w:p w14:paraId="34CCB54B"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8.3</w:t>
            </w:r>
          </w:p>
        </w:tc>
        <w:tc>
          <w:tcPr>
            <w:tcW w:w="970" w:type="pct"/>
            <w:tcBorders>
              <w:top w:val="nil"/>
              <w:left w:val="nil"/>
              <w:bottom w:val="single" w:sz="4" w:space="0" w:color="auto"/>
              <w:right w:val="single" w:sz="4" w:space="0" w:color="auto"/>
            </w:tcBorders>
            <w:shd w:val="clear" w:color="auto" w:fill="auto"/>
            <w:vAlign w:val="center"/>
            <w:hideMark/>
          </w:tcPr>
          <w:p w14:paraId="2C53D7B6"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建筑节能</w:t>
            </w:r>
          </w:p>
        </w:tc>
        <w:tc>
          <w:tcPr>
            <w:tcW w:w="1611" w:type="pct"/>
            <w:gridSpan w:val="2"/>
            <w:tcBorders>
              <w:top w:val="single" w:sz="4" w:space="0" w:color="auto"/>
              <w:left w:val="nil"/>
              <w:bottom w:val="single" w:sz="4" w:space="0" w:color="auto"/>
              <w:right w:val="single" w:sz="4" w:space="0" w:color="auto"/>
            </w:tcBorders>
            <w:shd w:val="clear" w:color="auto" w:fill="auto"/>
            <w:vAlign w:val="bottom"/>
            <w:hideMark/>
          </w:tcPr>
          <w:p w14:paraId="27873650"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建筑围护结构热工性能指标优于国家及地方现行相关建筑节能设计标准规定</w:t>
            </w:r>
          </w:p>
        </w:tc>
        <w:tc>
          <w:tcPr>
            <w:tcW w:w="457" w:type="pct"/>
            <w:tcBorders>
              <w:top w:val="nil"/>
              <w:left w:val="nil"/>
              <w:bottom w:val="single" w:sz="4" w:space="0" w:color="auto"/>
              <w:right w:val="single" w:sz="4" w:space="0" w:color="auto"/>
            </w:tcBorders>
            <w:shd w:val="clear" w:color="auto" w:fill="auto"/>
            <w:vAlign w:val="center"/>
            <w:hideMark/>
          </w:tcPr>
          <w:p w14:paraId="093B62B3"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57" w:type="pct"/>
            <w:tcBorders>
              <w:top w:val="nil"/>
              <w:left w:val="nil"/>
              <w:bottom w:val="single" w:sz="4" w:space="0" w:color="auto"/>
              <w:right w:val="single" w:sz="4" w:space="0" w:color="auto"/>
            </w:tcBorders>
            <w:shd w:val="clear" w:color="auto" w:fill="auto"/>
            <w:vAlign w:val="center"/>
            <w:hideMark/>
          </w:tcPr>
          <w:p w14:paraId="4646130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57" w:type="pct"/>
            <w:tcBorders>
              <w:top w:val="nil"/>
              <w:left w:val="nil"/>
              <w:bottom w:val="single" w:sz="4" w:space="0" w:color="auto"/>
              <w:right w:val="single" w:sz="4" w:space="0" w:color="auto"/>
            </w:tcBorders>
            <w:shd w:val="clear" w:color="auto" w:fill="auto"/>
            <w:vAlign w:val="center"/>
            <w:hideMark/>
          </w:tcPr>
          <w:p w14:paraId="09545DD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41002C61" w14:textId="77777777" w:rsidTr="00505AEA">
        <w:trPr>
          <w:trHeight w:val="1170"/>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14:paraId="039B41A0"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77" w:type="pct"/>
            <w:tcBorders>
              <w:top w:val="nil"/>
              <w:left w:val="nil"/>
              <w:bottom w:val="single" w:sz="4" w:space="0" w:color="auto"/>
              <w:right w:val="single" w:sz="4" w:space="0" w:color="auto"/>
            </w:tcBorders>
            <w:shd w:val="clear" w:color="auto" w:fill="auto"/>
            <w:vAlign w:val="center"/>
            <w:hideMark/>
          </w:tcPr>
          <w:p w14:paraId="7631509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8.4</w:t>
            </w:r>
          </w:p>
        </w:tc>
        <w:tc>
          <w:tcPr>
            <w:tcW w:w="970" w:type="pct"/>
            <w:tcBorders>
              <w:top w:val="nil"/>
              <w:left w:val="nil"/>
              <w:bottom w:val="single" w:sz="4" w:space="0" w:color="auto"/>
              <w:right w:val="single" w:sz="4" w:space="0" w:color="auto"/>
            </w:tcBorders>
            <w:shd w:val="clear" w:color="auto" w:fill="auto"/>
            <w:vAlign w:val="center"/>
            <w:hideMark/>
          </w:tcPr>
          <w:p w14:paraId="5CEDBD45"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建筑节水</w:t>
            </w:r>
          </w:p>
        </w:tc>
        <w:tc>
          <w:tcPr>
            <w:tcW w:w="1611" w:type="pct"/>
            <w:gridSpan w:val="2"/>
            <w:tcBorders>
              <w:top w:val="single" w:sz="4" w:space="0" w:color="auto"/>
              <w:left w:val="nil"/>
              <w:bottom w:val="single" w:sz="4" w:space="0" w:color="auto"/>
              <w:right w:val="single" w:sz="4" w:space="0" w:color="auto"/>
            </w:tcBorders>
            <w:shd w:val="clear" w:color="auto" w:fill="auto"/>
            <w:vAlign w:val="bottom"/>
            <w:hideMark/>
          </w:tcPr>
          <w:p w14:paraId="2782E931"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建筑平均日用水量满足现行国家标准《民用建筑节水设计标准》</w:t>
            </w:r>
            <w:r w:rsidRPr="00737AB2">
              <w:rPr>
                <w:rFonts w:ascii="Calibri" w:hAnsi="Calibri" w:cs="Calibri"/>
                <w:color w:val="000000"/>
                <w:kern w:val="0"/>
                <w:sz w:val="22"/>
              </w:rPr>
              <w:t>GB50555</w:t>
            </w:r>
            <w:r w:rsidRPr="00737AB2">
              <w:rPr>
                <w:rFonts w:ascii="宋体" w:hAnsi="宋体" w:cs="宋体" w:hint="eastAsia"/>
                <w:color w:val="000000"/>
                <w:kern w:val="0"/>
                <w:sz w:val="22"/>
              </w:rPr>
              <w:t>中的节水用水定额要求，达到节水用水定额的上限值与下限值的平均值要求</w:t>
            </w:r>
          </w:p>
        </w:tc>
        <w:tc>
          <w:tcPr>
            <w:tcW w:w="457" w:type="pct"/>
            <w:tcBorders>
              <w:top w:val="nil"/>
              <w:left w:val="nil"/>
              <w:bottom w:val="single" w:sz="4" w:space="0" w:color="auto"/>
              <w:right w:val="single" w:sz="4" w:space="0" w:color="auto"/>
            </w:tcBorders>
            <w:shd w:val="clear" w:color="auto" w:fill="auto"/>
            <w:vAlign w:val="center"/>
            <w:hideMark/>
          </w:tcPr>
          <w:p w14:paraId="6438D09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57" w:type="pct"/>
            <w:tcBorders>
              <w:top w:val="nil"/>
              <w:left w:val="nil"/>
              <w:bottom w:val="single" w:sz="4" w:space="0" w:color="auto"/>
              <w:right w:val="single" w:sz="4" w:space="0" w:color="auto"/>
            </w:tcBorders>
            <w:shd w:val="clear" w:color="auto" w:fill="auto"/>
            <w:vAlign w:val="center"/>
            <w:hideMark/>
          </w:tcPr>
          <w:p w14:paraId="72A64DB9"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57" w:type="pct"/>
            <w:tcBorders>
              <w:top w:val="nil"/>
              <w:left w:val="nil"/>
              <w:bottom w:val="single" w:sz="4" w:space="0" w:color="auto"/>
              <w:right w:val="single" w:sz="4" w:space="0" w:color="auto"/>
            </w:tcBorders>
            <w:shd w:val="clear" w:color="auto" w:fill="auto"/>
            <w:vAlign w:val="center"/>
            <w:hideMark/>
          </w:tcPr>
          <w:p w14:paraId="7100A67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7643794E" w14:textId="77777777" w:rsidTr="00505AEA">
        <w:trPr>
          <w:trHeight w:val="330"/>
        </w:trPr>
        <w:tc>
          <w:tcPr>
            <w:tcW w:w="471" w:type="pct"/>
            <w:vMerge/>
            <w:tcBorders>
              <w:top w:val="nil"/>
              <w:left w:val="single" w:sz="4" w:space="0" w:color="auto"/>
              <w:bottom w:val="single" w:sz="4" w:space="0" w:color="auto"/>
              <w:right w:val="single" w:sz="4" w:space="0" w:color="auto"/>
            </w:tcBorders>
            <w:shd w:val="clear" w:color="auto" w:fill="auto"/>
            <w:vAlign w:val="center"/>
            <w:hideMark/>
          </w:tcPr>
          <w:p w14:paraId="3EB361C6"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77" w:type="pct"/>
            <w:tcBorders>
              <w:top w:val="nil"/>
              <w:left w:val="single" w:sz="4" w:space="0" w:color="auto"/>
              <w:bottom w:val="single" w:sz="4" w:space="0" w:color="auto"/>
              <w:right w:val="single" w:sz="4" w:space="0" w:color="auto"/>
            </w:tcBorders>
            <w:shd w:val="clear" w:color="auto" w:fill="auto"/>
            <w:vAlign w:val="center"/>
            <w:hideMark/>
          </w:tcPr>
          <w:p w14:paraId="02BACF49"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8.5</w:t>
            </w:r>
          </w:p>
        </w:tc>
        <w:tc>
          <w:tcPr>
            <w:tcW w:w="970" w:type="pct"/>
            <w:tcBorders>
              <w:top w:val="nil"/>
              <w:left w:val="single" w:sz="4" w:space="0" w:color="auto"/>
              <w:bottom w:val="single" w:sz="4" w:space="0" w:color="auto"/>
              <w:right w:val="single" w:sz="4" w:space="0" w:color="auto"/>
            </w:tcBorders>
            <w:shd w:val="clear" w:color="auto" w:fill="auto"/>
            <w:vAlign w:val="center"/>
            <w:hideMark/>
          </w:tcPr>
          <w:p w14:paraId="53AEDBA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建筑节材</w:t>
            </w:r>
          </w:p>
        </w:tc>
        <w:tc>
          <w:tcPr>
            <w:tcW w:w="1611" w:type="pct"/>
            <w:gridSpan w:val="2"/>
            <w:tcBorders>
              <w:top w:val="single" w:sz="4" w:space="0" w:color="auto"/>
              <w:left w:val="nil"/>
              <w:bottom w:val="single" w:sz="4" w:space="0" w:color="auto"/>
              <w:right w:val="single" w:sz="4" w:space="0" w:color="auto"/>
            </w:tcBorders>
            <w:shd w:val="clear" w:color="auto" w:fill="auto"/>
            <w:vAlign w:val="bottom"/>
            <w:hideMark/>
          </w:tcPr>
          <w:p w14:paraId="762CFE4A"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建筑采用本地生产的建筑材料</w:t>
            </w:r>
          </w:p>
        </w:tc>
        <w:tc>
          <w:tcPr>
            <w:tcW w:w="457" w:type="pct"/>
            <w:tcBorders>
              <w:top w:val="nil"/>
              <w:left w:val="nil"/>
              <w:bottom w:val="single" w:sz="4" w:space="0" w:color="auto"/>
              <w:right w:val="single" w:sz="4" w:space="0" w:color="auto"/>
            </w:tcBorders>
            <w:shd w:val="clear" w:color="auto" w:fill="auto"/>
            <w:vAlign w:val="center"/>
            <w:hideMark/>
          </w:tcPr>
          <w:p w14:paraId="37245A50"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57" w:type="pct"/>
            <w:tcBorders>
              <w:top w:val="nil"/>
              <w:left w:val="nil"/>
              <w:bottom w:val="single" w:sz="4" w:space="0" w:color="auto"/>
              <w:right w:val="single" w:sz="4" w:space="0" w:color="auto"/>
            </w:tcBorders>
            <w:shd w:val="clear" w:color="auto" w:fill="auto"/>
            <w:vAlign w:val="center"/>
            <w:hideMark/>
          </w:tcPr>
          <w:p w14:paraId="08A98B9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57" w:type="pct"/>
            <w:tcBorders>
              <w:top w:val="nil"/>
              <w:left w:val="single" w:sz="4" w:space="0" w:color="auto"/>
              <w:bottom w:val="single" w:sz="4" w:space="0" w:color="auto"/>
              <w:right w:val="single" w:sz="4" w:space="0" w:color="auto"/>
            </w:tcBorders>
            <w:shd w:val="clear" w:color="auto" w:fill="auto"/>
            <w:vAlign w:val="center"/>
            <w:hideMark/>
          </w:tcPr>
          <w:p w14:paraId="6B5D52EF"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70E1ADE3" w14:textId="77777777" w:rsidTr="00505AEA">
        <w:trPr>
          <w:trHeight w:val="330"/>
        </w:trPr>
        <w:tc>
          <w:tcPr>
            <w:tcW w:w="4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A8D0E2" w14:textId="261859BE" w:rsidR="00505AEA" w:rsidRPr="00737AB2" w:rsidRDefault="00505AEA" w:rsidP="00AE7D83">
            <w:pPr>
              <w:widowControl/>
              <w:spacing w:line="240" w:lineRule="auto"/>
              <w:ind w:firstLineChars="0" w:firstLine="0"/>
              <w:jc w:val="center"/>
              <w:rPr>
                <w:rFonts w:ascii="宋体" w:hAnsi="宋体" w:cs="宋体" w:hint="eastAsia"/>
                <w:color w:val="000000"/>
                <w:kern w:val="0"/>
                <w:sz w:val="22"/>
              </w:rPr>
            </w:pPr>
            <w:r>
              <w:rPr>
                <w:rFonts w:ascii="宋体" w:hAnsi="宋体" w:cs="宋体" w:hint="eastAsia"/>
                <w:color w:val="000000"/>
                <w:kern w:val="0"/>
                <w:sz w:val="22"/>
              </w:rPr>
              <w:t>合并</w:t>
            </w:r>
          </w:p>
        </w:tc>
        <w:tc>
          <w:tcPr>
            <w:tcW w:w="914" w:type="pct"/>
            <w:gridSpan w:val="2"/>
            <w:tcBorders>
              <w:top w:val="single" w:sz="4" w:space="0" w:color="auto"/>
              <w:left w:val="nil"/>
              <w:bottom w:val="single" w:sz="4" w:space="0" w:color="auto"/>
              <w:right w:val="single" w:sz="4" w:space="0" w:color="auto"/>
            </w:tcBorders>
            <w:shd w:val="clear" w:color="auto" w:fill="auto"/>
            <w:vAlign w:val="center"/>
          </w:tcPr>
          <w:p w14:paraId="5A5458DB" w14:textId="77777777" w:rsidR="00505AEA" w:rsidRPr="00737AB2" w:rsidRDefault="00505AEA" w:rsidP="00AE7D83">
            <w:pPr>
              <w:widowControl/>
              <w:spacing w:line="240" w:lineRule="auto"/>
              <w:ind w:firstLineChars="0" w:firstLine="0"/>
              <w:jc w:val="center"/>
              <w:rPr>
                <w:rFonts w:ascii="宋体" w:hAnsi="宋体" w:cs="宋体" w:hint="eastAsia"/>
                <w:color w:val="000000"/>
                <w:kern w:val="0"/>
                <w:sz w:val="22"/>
              </w:rPr>
            </w:pPr>
          </w:p>
        </w:tc>
      </w:tr>
    </w:tbl>
    <w:p w14:paraId="25938117" w14:textId="77777777" w:rsidR="00505AEA" w:rsidRDefault="00505AEA" w:rsidP="00505AEA">
      <w:pPr>
        <w:ind w:firstLine="480"/>
      </w:pPr>
      <w:r>
        <w:rPr>
          <w:rFonts w:hint="eastAsia"/>
        </w:rPr>
        <w:t>对每项进行</w:t>
      </w:r>
      <w:r w:rsidRPr="00915C9A">
        <w:rPr>
          <w:rFonts w:hint="eastAsia"/>
        </w:rPr>
        <w:t>自评得分</w:t>
      </w:r>
      <w:r>
        <w:rPr>
          <w:rFonts w:hint="eastAsia"/>
        </w:rPr>
        <w:t>、得分说明，提交证明材料，格式如下：</w:t>
      </w:r>
    </w:p>
    <w:p w14:paraId="1B3B2544" w14:textId="6BF642C6" w:rsidR="00C66291" w:rsidRDefault="00C66291" w:rsidP="00C66291">
      <w:pPr>
        <w:ind w:firstLine="480"/>
      </w:pPr>
      <w:r>
        <w:t>8</w:t>
      </w:r>
      <w:r>
        <w:rPr>
          <w:rFonts w:hint="eastAsia"/>
        </w:rPr>
        <w:t>.1</w:t>
      </w:r>
      <w:r w:rsidR="00505AEA" w:rsidRPr="00505AEA">
        <w:rPr>
          <w:rFonts w:hint="eastAsia"/>
        </w:rPr>
        <w:t>社区中的建筑按照绿色建筑标准建设</w:t>
      </w:r>
      <w:r>
        <w:rPr>
          <w:rFonts w:hint="eastAsia"/>
        </w:rPr>
        <w:t>。</w:t>
      </w:r>
    </w:p>
    <w:p w14:paraId="47115614" w14:textId="77777777" w:rsidR="00C66291" w:rsidRDefault="00C66291" w:rsidP="00C66291">
      <w:pPr>
        <w:ind w:firstLine="480"/>
      </w:pPr>
      <w:r>
        <w:t>1</w:t>
      </w:r>
      <w:r>
        <w:rPr>
          <w:rFonts w:hint="eastAsia"/>
        </w:rPr>
        <w:t>）</w:t>
      </w:r>
      <w:r w:rsidRPr="00915C9A">
        <w:rPr>
          <w:rFonts w:hint="eastAsia"/>
        </w:rPr>
        <w:t>自评得分</w:t>
      </w:r>
      <w:r>
        <w:rPr>
          <w:rFonts w:hint="eastAsia"/>
        </w:rPr>
        <w:t>：</w:t>
      </w:r>
    </w:p>
    <w:p w14:paraId="7F2015D4" w14:textId="77777777" w:rsidR="00C66291" w:rsidRPr="00915C9A" w:rsidRDefault="00C66291" w:rsidP="00C66291">
      <w:pPr>
        <w:ind w:firstLine="480"/>
      </w:pPr>
      <w:r w:rsidRPr="00915C9A">
        <w:t>2</w:t>
      </w:r>
      <w:r>
        <w:rPr>
          <w:rFonts w:hint="eastAsia"/>
        </w:rPr>
        <w:t>）</w:t>
      </w:r>
      <w:r w:rsidRPr="00915C9A">
        <w:rPr>
          <w:rFonts w:hint="eastAsia"/>
        </w:rPr>
        <w:t>得分说明：简要说明得分原因</w:t>
      </w:r>
      <w:r>
        <w:rPr>
          <w:rFonts w:hint="eastAsia"/>
        </w:rPr>
        <w:t>，如有计算过程请说明计算过程。</w:t>
      </w:r>
    </w:p>
    <w:p w14:paraId="0CF25AAF" w14:textId="77777777" w:rsidR="00C66291" w:rsidRDefault="00C66291" w:rsidP="00C66291">
      <w:pPr>
        <w:ind w:firstLine="480"/>
      </w:pPr>
      <w:r w:rsidRPr="00915C9A">
        <w:t>3</w:t>
      </w:r>
      <w:r>
        <w:rPr>
          <w:rFonts w:hint="eastAsia"/>
        </w:rPr>
        <w:t>）</w:t>
      </w:r>
      <w:r w:rsidRPr="00915C9A">
        <w:rPr>
          <w:rFonts w:hint="eastAsia"/>
        </w:rPr>
        <w:t>证明材料：注明实际提交材料名称，标</w:t>
      </w:r>
      <w:r>
        <w:rPr>
          <w:rFonts w:hint="eastAsia"/>
        </w:rPr>
        <w:t>注</w:t>
      </w:r>
      <w:r w:rsidRPr="00915C9A">
        <w:rPr>
          <w:rFonts w:hint="eastAsia"/>
        </w:rPr>
        <w:t>清楚得分项在证明材料中的具体位置</w:t>
      </w:r>
      <w:r>
        <w:rPr>
          <w:rFonts w:hint="eastAsia"/>
        </w:rPr>
        <w:t>。</w:t>
      </w:r>
    </w:p>
    <w:p w14:paraId="2A555B09" w14:textId="1B29CC21" w:rsidR="00C66291" w:rsidRPr="00C66291" w:rsidRDefault="00C66291" w:rsidP="00C66291">
      <w:pPr>
        <w:ind w:firstLine="480"/>
      </w:pPr>
    </w:p>
    <w:p w14:paraId="74CB8B02" w14:textId="1F95DF08" w:rsidR="00C66291" w:rsidRDefault="00C66291" w:rsidP="00505AEA">
      <w:pPr>
        <w:ind w:firstLine="480"/>
        <w:rPr>
          <w:rFonts w:hint="eastAsia"/>
        </w:rPr>
      </w:pPr>
      <w:r>
        <w:br w:type="page"/>
      </w:r>
    </w:p>
    <w:p w14:paraId="31217C4B" w14:textId="2D6E9046" w:rsidR="00C66291" w:rsidRDefault="00C66291" w:rsidP="00C66291">
      <w:pPr>
        <w:pStyle w:val="2"/>
      </w:pPr>
      <w:r>
        <w:lastRenderedPageBreak/>
        <w:t>9</w:t>
      </w:r>
      <w:r>
        <w:rPr>
          <w:rFonts w:hint="eastAsia"/>
        </w:rPr>
        <w:t>、</w:t>
      </w:r>
      <w:r w:rsidR="00505AEA" w:rsidRPr="00737AB2">
        <w:rPr>
          <w:rFonts w:ascii="宋体" w:hAnsi="宋体" w:cs="宋体" w:hint="eastAsia"/>
          <w:color w:val="000000"/>
          <w:kern w:val="0"/>
          <w:sz w:val="22"/>
        </w:rPr>
        <w:t>绿色人文</w:t>
      </w:r>
    </w:p>
    <w:tbl>
      <w:tblPr>
        <w:tblW w:w="5000" w:type="pct"/>
        <w:tblLook w:val="04A0" w:firstRow="1" w:lastRow="0" w:firstColumn="1" w:lastColumn="0" w:noHBand="0" w:noVBand="1"/>
      </w:tblPr>
      <w:tblGrid>
        <w:gridCol w:w="717"/>
        <w:gridCol w:w="876"/>
        <w:gridCol w:w="1475"/>
        <w:gridCol w:w="2449"/>
        <w:gridCol w:w="695"/>
        <w:gridCol w:w="695"/>
        <w:gridCol w:w="695"/>
        <w:gridCol w:w="694"/>
      </w:tblGrid>
      <w:tr w:rsidR="00505AEA" w:rsidRPr="00505AEA" w14:paraId="6F3E39E7" w14:textId="77777777" w:rsidTr="00505AEA">
        <w:trPr>
          <w:trHeight w:val="472"/>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1DBE4" w14:textId="77777777" w:rsidR="00505AEA" w:rsidRPr="00505AEA" w:rsidRDefault="00505AEA" w:rsidP="00505AEA">
            <w:pPr>
              <w:widowControl/>
              <w:spacing w:line="240" w:lineRule="auto"/>
              <w:ind w:firstLineChars="0" w:firstLine="0"/>
              <w:jc w:val="center"/>
              <w:rPr>
                <w:rFonts w:ascii="宋体" w:hAnsi="宋体" w:cs="宋体"/>
                <w:b/>
                <w:bCs/>
                <w:color w:val="000000"/>
                <w:kern w:val="0"/>
                <w:sz w:val="22"/>
              </w:rPr>
            </w:pPr>
            <w:r w:rsidRPr="00505AEA">
              <w:rPr>
                <w:rFonts w:ascii="宋体" w:hAnsi="宋体" w:cs="宋体" w:hint="eastAsia"/>
                <w:b/>
                <w:bCs/>
                <w:color w:val="000000"/>
                <w:kern w:val="0"/>
                <w:sz w:val="22"/>
              </w:rPr>
              <w:t>指标类别</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DB16A"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编码</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C0573"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评价类别</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1659F3BB"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评价内容</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13E81671"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评价档次</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49B1A7CB"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自评分</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F002C"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自评得分</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66145" w14:textId="77777777" w:rsidR="00505AEA" w:rsidRPr="00505AEA" w:rsidRDefault="00505AEA" w:rsidP="00505AEA">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备注</w:t>
            </w:r>
          </w:p>
        </w:tc>
      </w:tr>
      <w:tr w:rsidR="00505AEA" w:rsidRPr="00737AB2" w14:paraId="089A1411" w14:textId="77777777" w:rsidTr="00505AEA">
        <w:trPr>
          <w:trHeight w:val="1223"/>
        </w:trPr>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E82863" w14:textId="77777777" w:rsidR="00505AEA" w:rsidRPr="00737AB2" w:rsidRDefault="00505AEA" w:rsidP="00AE7D83">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绿色人文</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224B3"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9.1</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6AC7D"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bookmarkStart w:id="4" w:name="_Hlk498621007"/>
            <w:r w:rsidRPr="00737AB2">
              <w:rPr>
                <w:rFonts w:ascii="宋体" w:hAnsi="宋体" w:cs="宋体" w:hint="eastAsia"/>
                <w:color w:val="000000"/>
                <w:kern w:val="0"/>
                <w:sz w:val="22"/>
              </w:rPr>
              <w:t>社区无障碍设计达标</w:t>
            </w:r>
            <w:bookmarkEnd w:id="4"/>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29B3F980"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社区建筑出入口、电梯、卫生间等和公共活动中心均采用无障碍设计，且满足现行国家标准《无障碍设计规范》GB50763要求</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8775EE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168138C9"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C419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1C73F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0A34E374" w14:textId="77777777" w:rsidTr="00505AEA">
        <w:trPr>
          <w:trHeight w:val="649"/>
        </w:trPr>
        <w:tc>
          <w:tcPr>
            <w:tcW w:w="432" w:type="pct"/>
            <w:vMerge/>
            <w:tcBorders>
              <w:top w:val="nil"/>
              <w:left w:val="single" w:sz="4" w:space="0" w:color="auto"/>
              <w:bottom w:val="single" w:sz="4" w:space="0" w:color="000000"/>
              <w:right w:val="single" w:sz="4" w:space="0" w:color="auto"/>
            </w:tcBorders>
            <w:vAlign w:val="center"/>
            <w:hideMark/>
          </w:tcPr>
          <w:p w14:paraId="1A008647"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212C0AD1"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31A7B02B"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091E3CF6"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社区道路无障碍设计达标率100%，且与建筑物无障碍连通</w:t>
            </w:r>
          </w:p>
        </w:tc>
        <w:tc>
          <w:tcPr>
            <w:tcW w:w="419" w:type="pct"/>
            <w:tcBorders>
              <w:top w:val="nil"/>
              <w:left w:val="nil"/>
              <w:bottom w:val="single" w:sz="4" w:space="0" w:color="auto"/>
              <w:right w:val="single" w:sz="4" w:space="0" w:color="auto"/>
            </w:tcBorders>
            <w:shd w:val="clear" w:color="auto" w:fill="auto"/>
            <w:vAlign w:val="center"/>
            <w:hideMark/>
          </w:tcPr>
          <w:p w14:paraId="68156CF3"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1901A057"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6E70D8F5"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7A402769"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279A8036" w14:textId="77777777" w:rsidTr="00505AEA">
        <w:trPr>
          <w:trHeight w:val="270"/>
        </w:trPr>
        <w:tc>
          <w:tcPr>
            <w:tcW w:w="432" w:type="pct"/>
            <w:vMerge/>
            <w:tcBorders>
              <w:top w:val="nil"/>
              <w:left w:val="single" w:sz="4" w:space="0" w:color="auto"/>
              <w:bottom w:val="single" w:sz="4" w:space="0" w:color="000000"/>
              <w:right w:val="single" w:sz="4" w:space="0" w:color="auto"/>
            </w:tcBorders>
            <w:vAlign w:val="center"/>
            <w:hideMark/>
          </w:tcPr>
          <w:p w14:paraId="2A0699CE"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5A47444F"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9.2</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7B1467AF"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社区公众参与的组织形式和参与机构多样化</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58DA8E5F"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公众参与组织形式多于四种</w:t>
            </w:r>
          </w:p>
        </w:tc>
        <w:tc>
          <w:tcPr>
            <w:tcW w:w="419" w:type="pct"/>
            <w:tcBorders>
              <w:top w:val="nil"/>
              <w:left w:val="nil"/>
              <w:bottom w:val="single" w:sz="4" w:space="0" w:color="auto"/>
              <w:right w:val="single" w:sz="4" w:space="0" w:color="auto"/>
            </w:tcBorders>
            <w:shd w:val="clear" w:color="auto" w:fill="auto"/>
            <w:vAlign w:val="center"/>
            <w:hideMark/>
          </w:tcPr>
          <w:p w14:paraId="5394BEA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C622AD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nil"/>
              <w:left w:val="nil"/>
              <w:bottom w:val="single" w:sz="4" w:space="0" w:color="auto"/>
              <w:right w:val="single" w:sz="4" w:space="0" w:color="auto"/>
            </w:tcBorders>
            <w:shd w:val="clear" w:color="auto" w:fill="auto"/>
            <w:vAlign w:val="center"/>
            <w:hideMark/>
          </w:tcPr>
          <w:p w14:paraId="2D113EDC"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09A55AD6"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0A24B46E" w14:textId="77777777" w:rsidTr="00505AEA">
        <w:trPr>
          <w:trHeight w:val="570"/>
        </w:trPr>
        <w:tc>
          <w:tcPr>
            <w:tcW w:w="432" w:type="pct"/>
            <w:vMerge/>
            <w:tcBorders>
              <w:top w:val="nil"/>
              <w:left w:val="single" w:sz="4" w:space="0" w:color="auto"/>
              <w:bottom w:val="single" w:sz="4" w:space="0" w:color="000000"/>
              <w:right w:val="single" w:sz="4" w:space="0" w:color="auto"/>
            </w:tcBorders>
            <w:vAlign w:val="center"/>
            <w:hideMark/>
          </w:tcPr>
          <w:p w14:paraId="6D35617E"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33EA22B9"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3842E81A"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9CEFF90"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公众参与的参与机构包括政府机构、非政府／谋利机构、专业机构和群众</w:t>
            </w:r>
          </w:p>
        </w:tc>
        <w:tc>
          <w:tcPr>
            <w:tcW w:w="419" w:type="pct"/>
            <w:tcBorders>
              <w:top w:val="nil"/>
              <w:left w:val="nil"/>
              <w:bottom w:val="single" w:sz="4" w:space="0" w:color="auto"/>
              <w:right w:val="single" w:sz="4" w:space="0" w:color="auto"/>
            </w:tcBorders>
            <w:shd w:val="clear" w:color="auto" w:fill="auto"/>
            <w:vAlign w:val="center"/>
            <w:hideMark/>
          </w:tcPr>
          <w:p w14:paraId="152F3A8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4FE48F87"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nil"/>
              <w:left w:val="nil"/>
              <w:bottom w:val="single" w:sz="4" w:space="0" w:color="auto"/>
              <w:right w:val="single" w:sz="4" w:space="0" w:color="auto"/>
            </w:tcBorders>
            <w:shd w:val="clear" w:color="auto" w:fill="auto"/>
            <w:vAlign w:val="center"/>
            <w:hideMark/>
          </w:tcPr>
          <w:p w14:paraId="0E63030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tcBorders>
              <w:top w:val="nil"/>
              <w:left w:val="single" w:sz="4" w:space="0" w:color="auto"/>
              <w:bottom w:val="single" w:sz="4" w:space="0" w:color="000000"/>
              <w:right w:val="single" w:sz="4" w:space="0" w:color="auto"/>
            </w:tcBorders>
            <w:vAlign w:val="center"/>
            <w:hideMark/>
          </w:tcPr>
          <w:p w14:paraId="0777632F"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3316C76A" w14:textId="77777777" w:rsidTr="00505AEA">
        <w:trPr>
          <w:trHeight w:val="270"/>
        </w:trPr>
        <w:tc>
          <w:tcPr>
            <w:tcW w:w="432" w:type="pct"/>
            <w:vMerge/>
            <w:tcBorders>
              <w:top w:val="nil"/>
              <w:left w:val="single" w:sz="4" w:space="0" w:color="auto"/>
              <w:bottom w:val="single" w:sz="4" w:space="0" w:color="000000"/>
              <w:right w:val="single" w:sz="4" w:space="0" w:color="auto"/>
            </w:tcBorders>
            <w:vAlign w:val="center"/>
            <w:hideMark/>
          </w:tcPr>
          <w:p w14:paraId="3D2A95D6"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25C2FD39"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9.3</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44793C50"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社区开展绿色教育和绿色实践，倡导绿色生活方式</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A0BA346"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制定社区绿色生活与消费导则</w:t>
            </w:r>
          </w:p>
        </w:tc>
        <w:tc>
          <w:tcPr>
            <w:tcW w:w="419" w:type="pct"/>
            <w:tcBorders>
              <w:top w:val="nil"/>
              <w:left w:val="nil"/>
              <w:bottom w:val="single" w:sz="4" w:space="0" w:color="auto"/>
              <w:right w:val="single" w:sz="4" w:space="0" w:color="auto"/>
            </w:tcBorders>
            <w:shd w:val="clear" w:color="auto" w:fill="auto"/>
            <w:vAlign w:val="center"/>
            <w:hideMark/>
          </w:tcPr>
          <w:p w14:paraId="2B83A8F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74F510C5"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789152F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7A29DD2C"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3C9DBF27" w14:textId="77777777" w:rsidTr="00505AEA">
        <w:trPr>
          <w:trHeight w:val="270"/>
        </w:trPr>
        <w:tc>
          <w:tcPr>
            <w:tcW w:w="432" w:type="pct"/>
            <w:vMerge/>
            <w:tcBorders>
              <w:top w:val="nil"/>
              <w:left w:val="single" w:sz="4" w:space="0" w:color="auto"/>
              <w:bottom w:val="single" w:sz="4" w:space="0" w:color="000000"/>
              <w:right w:val="single" w:sz="4" w:space="0" w:color="auto"/>
            </w:tcBorders>
            <w:vAlign w:val="center"/>
            <w:hideMark/>
          </w:tcPr>
          <w:p w14:paraId="0BECECAD"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1B40610C"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0FD7C5AE"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63C76027"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针对青少年开展绿色教育和绿色实践</w:t>
            </w:r>
          </w:p>
        </w:tc>
        <w:tc>
          <w:tcPr>
            <w:tcW w:w="419" w:type="pct"/>
            <w:tcBorders>
              <w:top w:val="nil"/>
              <w:left w:val="nil"/>
              <w:bottom w:val="single" w:sz="4" w:space="0" w:color="auto"/>
              <w:right w:val="single" w:sz="4" w:space="0" w:color="auto"/>
            </w:tcBorders>
            <w:shd w:val="clear" w:color="auto" w:fill="auto"/>
            <w:vAlign w:val="center"/>
            <w:hideMark/>
          </w:tcPr>
          <w:p w14:paraId="72C09DF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27A13B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0052D91B"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055F85D4"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712C1757" w14:textId="77777777" w:rsidTr="00505AEA">
        <w:trPr>
          <w:trHeight w:val="570"/>
        </w:trPr>
        <w:tc>
          <w:tcPr>
            <w:tcW w:w="432" w:type="pct"/>
            <w:vMerge/>
            <w:tcBorders>
              <w:top w:val="nil"/>
              <w:left w:val="single" w:sz="4" w:space="0" w:color="auto"/>
              <w:bottom w:val="single" w:sz="4" w:space="0" w:color="000000"/>
              <w:right w:val="single" w:sz="4" w:space="0" w:color="auto"/>
            </w:tcBorders>
            <w:vAlign w:val="center"/>
            <w:hideMark/>
          </w:tcPr>
          <w:p w14:paraId="0ABB18AB"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46AE0F1E"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1E86D82E"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36200DDD"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定期举办绿色行动日活动，构建绿色生活体验场所和展示平台</w:t>
            </w:r>
          </w:p>
        </w:tc>
        <w:tc>
          <w:tcPr>
            <w:tcW w:w="419" w:type="pct"/>
            <w:tcBorders>
              <w:top w:val="nil"/>
              <w:left w:val="nil"/>
              <w:bottom w:val="single" w:sz="4" w:space="0" w:color="auto"/>
              <w:right w:val="single" w:sz="4" w:space="0" w:color="auto"/>
            </w:tcBorders>
            <w:shd w:val="clear" w:color="auto" w:fill="auto"/>
            <w:vAlign w:val="center"/>
            <w:hideMark/>
          </w:tcPr>
          <w:p w14:paraId="06C0B71F"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A3DDFF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22C55641"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078AC173"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0E27A6E0" w14:textId="77777777" w:rsidTr="00505AEA">
        <w:trPr>
          <w:trHeight w:val="600"/>
        </w:trPr>
        <w:tc>
          <w:tcPr>
            <w:tcW w:w="432" w:type="pct"/>
            <w:vMerge/>
            <w:tcBorders>
              <w:top w:val="nil"/>
              <w:left w:val="single" w:sz="4" w:space="0" w:color="auto"/>
              <w:bottom w:val="single" w:sz="4" w:space="0" w:color="000000"/>
              <w:right w:val="single" w:sz="4" w:space="0" w:color="auto"/>
            </w:tcBorders>
            <w:vAlign w:val="center"/>
            <w:hideMark/>
          </w:tcPr>
          <w:p w14:paraId="43885825"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000000"/>
              <w:right w:val="single" w:sz="4" w:space="0" w:color="auto"/>
            </w:tcBorders>
            <w:vAlign w:val="center"/>
            <w:hideMark/>
          </w:tcPr>
          <w:p w14:paraId="60AA60E0"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03535EA0"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3061CD28"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设置生态展示牌，发布包括温度、湿度、风力、</w:t>
            </w:r>
            <w:r w:rsidRPr="00737AB2">
              <w:rPr>
                <w:rFonts w:ascii="Calibri" w:hAnsi="Calibri" w:cs="Calibri"/>
                <w:color w:val="000000"/>
                <w:kern w:val="0"/>
                <w:sz w:val="22"/>
              </w:rPr>
              <w:t>PM2.5</w:t>
            </w:r>
            <w:r w:rsidRPr="00737AB2">
              <w:rPr>
                <w:rFonts w:ascii="宋体" w:hAnsi="宋体" w:cs="宋体" w:hint="eastAsia"/>
                <w:color w:val="000000"/>
                <w:kern w:val="0"/>
                <w:sz w:val="22"/>
              </w:rPr>
              <w:t>浓度等在内的指标数据</w:t>
            </w:r>
          </w:p>
        </w:tc>
        <w:tc>
          <w:tcPr>
            <w:tcW w:w="419" w:type="pct"/>
            <w:tcBorders>
              <w:top w:val="nil"/>
              <w:left w:val="nil"/>
              <w:bottom w:val="single" w:sz="4" w:space="0" w:color="auto"/>
              <w:right w:val="single" w:sz="4" w:space="0" w:color="auto"/>
            </w:tcBorders>
            <w:shd w:val="clear" w:color="auto" w:fill="auto"/>
            <w:vAlign w:val="center"/>
            <w:hideMark/>
          </w:tcPr>
          <w:p w14:paraId="330857B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21AE73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000000"/>
              <w:right w:val="single" w:sz="4" w:space="0" w:color="auto"/>
            </w:tcBorders>
            <w:vAlign w:val="center"/>
            <w:hideMark/>
          </w:tcPr>
          <w:p w14:paraId="3D243478"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000000"/>
              <w:right w:val="single" w:sz="4" w:space="0" w:color="auto"/>
            </w:tcBorders>
            <w:vAlign w:val="center"/>
            <w:hideMark/>
          </w:tcPr>
          <w:p w14:paraId="30FDA820"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65E9C617" w14:textId="77777777" w:rsidTr="00505AEA">
        <w:trPr>
          <w:trHeight w:val="1215"/>
        </w:trPr>
        <w:tc>
          <w:tcPr>
            <w:tcW w:w="432" w:type="pct"/>
            <w:vMerge/>
            <w:tcBorders>
              <w:top w:val="nil"/>
              <w:left w:val="single" w:sz="4" w:space="0" w:color="auto"/>
              <w:bottom w:val="single" w:sz="4" w:space="0" w:color="000000"/>
              <w:right w:val="single" w:sz="4" w:space="0" w:color="auto"/>
            </w:tcBorders>
            <w:vAlign w:val="center"/>
            <w:hideMark/>
          </w:tcPr>
          <w:p w14:paraId="22398B49"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tcBorders>
              <w:top w:val="nil"/>
              <w:left w:val="nil"/>
              <w:bottom w:val="single" w:sz="4" w:space="0" w:color="auto"/>
              <w:right w:val="single" w:sz="4" w:space="0" w:color="auto"/>
            </w:tcBorders>
            <w:shd w:val="clear" w:color="auto" w:fill="auto"/>
            <w:vAlign w:val="center"/>
            <w:hideMark/>
          </w:tcPr>
          <w:p w14:paraId="14A133EF"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9.4</w:t>
            </w:r>
          </w:p>
        </w:tc>
        <w:tc>
          <w:tcPr>
            <w:tcW w:w="889" w:type="pct"/>
            <w:tcBorders>
              <w:top w:val="nil"/>
              <w:left w:val="nil"/>
              <w:bottom w:val="single" w:sz="4" w:space="0" w:color="auto"/>
              <w:right w:val="single" w:sz="4" w:space="0" w:color="auto"/>
            </w:tcBorders>
            <w:shd w:val="clear" w:color="auto" w:fill="auto"/>
            <w:vAlign w:val="center"/>
            <w:hideMark/>
          </w:tcPr>
          <w:p w14:paraId="07520516"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社区建筑溢价率</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099C560"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r w:rsidRPr="00737AB2">
              <w:rPr>
                <w:rFonts w:ascii="宋体" w:hAnsi="宋体" w:cs="宋体" w:hint="eastAsia"/>
                <w:color w:val="000000"/>
                <w:kern w:val="0"/>
                <w:sz w:val="22"/>
              </w:rPr>
              <w:t>通过合理配置公共资源，功能复合、环境优美、服务设施健全，以及采用低成本、适宜性建筑节能技术，建筑售价溢价20%或租金溢价10%</w:t>
            </w:r>
          </w:p>
        </w:tc>
        <w:tc>
          <w:tcPr>
            <w:tcW w:w="419" w:type="pct"/>
            <w:tcBorders>
              <w:top w:val="nil"/>
              <w:left w:val="nil"/>
              <w:bottom w:val="single" w:sz="4" w:space="0" w:color="auto"/>
              <w:right w:val="single" w:sz="4" w:space="0" w:color="auto"/>
            </w:tcBorders>
            <w:shd w:val="clear" w:color="auto" w:fill="auto"/>
            <w:vAlign w:val="center"/>
            <w:hideMark/>
          </w:tcPr>
          <w:p w14:paraId="5635F06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6E549B6C"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nil"/>
              <w:left w:val="nil"/>
              <w:bottom w:val="single" w:sz="4" w:space="0" w:color="auto"/>
              <w:right w:val="single" w:sz="4" w:space="0" w:color="auto"/>
            </w:tcBorders>
            <w:shd w:val="clear" w:color="auto" w:fill="auto"/>
            <w:vAlign w:val="center"/>
            <w:hideMark/>
          </w:tcPr>
          <w:p w14:paraId="3EDB6FAD"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035819F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1A0346FE" w14:textId="77777777" w:rsidTr="00505AEA">
        <w:trPr>
          <w:trHeight w:val="600"/>
        </w:trPr>
        <w:tc>
          <w:tcPr>
            <w:tcW w:w="432" w:type="pct"/>
            <w:vMerge/>
            <w:tcBorders>
              <w:top w:val="nil"/>
              <w:left w:val="single" w:sz="4" w:space="0" w:color="auto"/>
              <w:bottom w:val="single" w:sz="4" w:space="0" w:color="000000"/>
              <w:right w:val="single" w:sz="4" w:space="0" w:color="auto"/>
            </w:tcBorders>
            <w:vAlign w:val="center"/>
            <w:hideMark/>
          </w:tcPr>
          <w:p w14:paraId="54614FA0"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34387CD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9.5</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761A74DC"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社区具备智能化管理与服务的系统、智能化网络设施</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0020891"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设置道路管控、建筑用能管理、家居安防等智能化管理与服务系统</w:t>
            </w:r>
          </w:p>
        </w:tc>
        <w:tc>
          <w:tcPr>
            <w:tcW w:w="419" w:type="pct"/>
            <w:tcBorders>
              <w:top w:val="nil"/>
              <w:left w:val="nil"/>
              <w:bottom w:val="single" w:sz="4" w:space="0" w:color="auto"/>
              <w:right w:val="single" w:sz="4" w:space="0" w:color="auto"/>
            </w:tcBorders>
            <w:shd w:val="clear" w:color="auto" w:fill="auto"/>
            <w:vAlign w:val="center"/>
            <w:hideMark/>
          </w:tcPr>
          <w:p w14:paraId="190F8B3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045C0C5B"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5A52B6F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32419BD0"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29250A13" w14:textId="77777777" w:rsidTr="00505AEA">
        <w:trPr>
          <w:trHeight w:val="416"/>
        </w:trPr>
        <w:tc>
          <w:tcPr>
            <w:tcW w:w="432" w:type="pct"/>
            <w:vMerge/>
            <w:tcBorders>
              <w:top w:val="nil"/>
              <w:left w:val="single" w:sz="4" w:space="0" w:color="auto"/>
              <w:bottom w:val="single" w:sz="4" w:space="0" w:color="auto"/>
              <w:right w:val="single" w:sz="4" w:space="0" w:color="auto"/>
            </w:tcBorders>
            <w:vAlign w:val="center"/>
            <w:hideMark/>
          </w:tcPr>
          <w:p w14:paraId="0AC73C3E"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auto"/>
              <w:right w:val="single" w:sz="4" w:space="0" w:color="auto"/>
            </w:tcBorders>
            <w:vAlign w:val="center"/>
            <w:hideMark/>
          </w:tcPr>
          <w:p w14:paraId="185ED252"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vAlign w:val="center"/>
            <w:hideMark/>
          </w:tcPr>
          <w:p w14:paraId="08B74552"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auto"/>
            </w:tcBorders>
            <w:shd w:val="clear" w:color="auto" w:fill="auto"/>
            <w:vAlign w:val="bottom"/>
            <w:hideMark/>
          </w:tcPr>
          <w:p w14:paraId="79EB10BC" w14:textId="77777777" w:rsidR="00505AEA" w:rsidRPr="00737AB2" w:rsidRDefault="00505AEA" w:rsidP="00AE7D83">
            <w:pPr>
              <w:widowControl/>
              <w:spacing w:line="240" w:lineRule="auto"/>
              <w:ind w:firstLineChars="0" w:firstLine="0"/>
              <w:rPr>
                <w:rFonts w:ascii="宋体" w:hAnsi="宋体" w:cs="宋体"/>
                <w:color w:val="000000"/>
                <w:kern w:val="0"/>
                <w:sz w:val="22"/>
              </w:rPr>
            </w:pPr>
            <w:r w:rsidRPr="00737AB2">
              <w:rPr>
                <w:rFonts w:ascii="宋体" w:hAnsi="宋体" w:cs="宋体" w:hint="eastAsia"/>
                <w:color w:val="000000"/>
                <w:kern w:val="0"/>
                <w:sz w:val="22"/>
              </w:rPr>
              <w:t>建立社区信息化基础设施，包括 IP城域网、无线宽带、专网和专线、有</w:t>
            </w:r>
            <w:r w:rsidRPr="00737AB2">
              <w:rPr>
                <w:rFonts w:ascii="宋体" w:hAnsi="宋体" w:cs="宋体" w:hint="eastAsia"/>
                <w:color w:val="000000"/>
                <w:kern w:val="0"/>
                <w:sz w:val="22"/>
              </w:rPr>
              <w:lastRenderedPageBreak/>
              <w:t>线电视网等，无线移动宽带覆盖率达到100%</w:t>
            </w:r>
          </w:p>
        </w:tc>
        <w:tc>
          <w:tcPr>
            <w:tcW w:w="419" w:type="pct"/>
            <w:tcBorders>
              <w:top w:val="nil"/>
              <w:left w:val="nil"/>
              <w:bottom w:val="single" w:sz="4" w:space="0" w:color="auto"/>
              <w:right w:val="single" w:sz="4" w:space="0" w:color="auto"/>
            </w:tcBorders>
            <w:shd w:val="clear" w:color="auto" w:fill="auto"/>
            <w:vAlign w:val="center"/>
            <w:hideMark/>
          </w:tcPr>
          <w:p w14:paraId="49EDF41B"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lastRenderedPageBreak/>
              <w:t>1</w:t>
            </w:r>
          </w:p>
        </w:tc>
        <w:tc>
          <w:tcPr>
            <w:tcW w:w="419" w:type="pct"/>
            <w:tcBorders>
              <w:top w:val="nil"/>
              <w:left w:val="nil"/>
              <w:bottom w:val="single" w:sz="4" w:space="0" w:color="auto"/>
              <w:right w:val="single" w:sz="4" w:space="0" w:color="auto"/>
            </w:tcBorders>
            <w:shd w:val="clear" w:color="auto" w:fill="auto"/>
            <w:vAlign w:val="center"/>
            <w:hideMark/>
          </w:tcPr>
          <w:p w14:paraId="48BA9ABB"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auto"/>
              <w:right w:val="single" w:sz="4" w:space="0" w:color="auto"/>
            </w:tcBorders>
            <w:vAlign w:val="center"/>
            <w:hideMark/>
          </w:tcPr>
          <w:p w14:paraId="39CED97E"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auto"/>
              <w:right w:val="single" w:sz="4" w:space="0" w:color="auto"/>
            </w:tcBorders>
            <w:vAlign w:val="center"/>
            <w:hideMark/>
          </w:tcPr>
          <w:p w14:paraId="4F7A7D48"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17827260" w14:textId="77777777" w:rsidTr="00505AEA">
        <w:trPr>
          <w:trHeight w:val="56"/>
        </w:trPr>
        <w:tc>
          <w:tcPr>
            <w:tcW w:w="4163" w:type="pct"/>
            <w:gridSpan w:val="6"/>
            <w:tcBorders>
              <w:top w:val="single" w:sz="4" w:space="0" w:color="auto"/>
              <w:left w:val="single" w:sz="4" w:space="0" w:color="auto"/>
              <w:bottom w:val="single" w:sz="4" w:space="0" w:color="auto"/>
              <w:right w:val="single" w:sz="4" w:space="0" w:color="auto"/>
            </w:tcBorders>
            <w:vAlign w:val="center"/>
          </w:tcPr>
          <w:p w14:paraId="14AB67B5" w14:textId="101F10B3" w:rsidR="00505AEA" w:rsidRPr="00737AB2" w:rsidRDefault="00505AEA" w:rsidP="00AE7D83">
            <w:pPr>
              <w:widowControl/>
              <w:spacing w:line="240" w:lineRule="auto"/>
              <w:ind w:firstLineChars="0" w:firstLine="0"/>
              <w:jc w:val="center"/>
              <w:rPr>
                <w:rFonts w:ascii="宋体" w:hAnsi="宋体" w:cs="宋体" w:hint="eastAsia"/>
                <w:color w:val="000000"/>
                <w:kern w:val="0"/>
                <w:sz w:val="22"/>
              </w:rPr>
            </w:pPr>
            <w:r>
              <w:rPr>
                <w:rFonts w:ascii="宋体" w:hAnsi="宋体" w:cs="宋体" w:hint="eastAsia"/>
                <w:b/>
                <w:bCs/>
                <w:color w:val="000000"/>
                <w:kern w:val="0"/>
                <w:sz w:val="22"/>
              </w:rPr>
              <w:t>合计</w:t>
            </w:r>
          </w:p>
        </w:tc>
        <w:tc>
          <w:tcPr>
            <w:tcW w:w="837" w:type="pct"/>
            <w:gridSpan w:val="2"/>
            <w:tcBorders>
              <w:top w:val="single" w:sz="4" w:space="0" w:color="auto"/>
              <w:left w:val="single" w:sz="4" w:space="0" w:color="auto"/>
              <w:bottom w:val="single" w:sz="4" w:space="0" w:color="auto"/>
              <w:right w:val="single" w:sz="4" w:space="0" w:color="auto"/>
            </w:tcBorders>
            <w:vAlign w:val="center"/>
          </w:tcPr>
          <w:p w14:paraId="00E2CA95"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bl>
    <w:p w14:paraId="3BCBB6D1" w14:textId="77777777" w:rsidR="00505AEA" w:rsidRDefault="00505AEA" w:rsidP="00505AEA">
      <w:pPr>
        <w:ind w:firstLine="480"/>
      </w:pPr>
      <w:r>
        <w:rPr>
          <w:rFonts w:hint="eastAsia"/>
        </w:rPr>
        <w:t>对每项进行</w:t>
      </w:r>
      <w:r w:rsidRPr="00915C9A">
        <w:rPr>
          <w:rFonts w:hint="eastAsia"/>
        </w:rPr>
        <w:t>自评得分</w:t>
      </w:r>
      <w:r>
        <w:rPr>
          <w:rFonts w:hint="eastAsia"/>
        </w:rPr>
        <w:t>、得分说明，提交证明材料，格式如下：</w:t>
      </w:r>
    </w:p>
    <w:p w14:paraId="494B255C" w14:textId="7ACB9A35" w:rsidR="00C66291" w:rsidRDefault="00C66291" w:rsidP="00C66291">
      <w:pPr>
        <w:ind w:firstLine="480"/>
      </w:pPr>
      <w:r>
        <w:t>9</w:t>
      </w:r>
      <w:r>
        <w:rPr>
          <w:rFonts w:hint="eastAsia"/>
        </w:rPr>
        <w:t>.1</w:t>
      </w:r>
      <w:r w:rsidR="00505AEA" w:rsidRPr="00505AEA">
        <w:rPr>
          <w:rFonts w:hint="eastAsia"/>
        </w:rPr>
        <w:t>社区无障碍设计达标</w:t>
      </w:r>
      <w:r>
        <w:rPr>
          <w:rFonts w:hint="eastAsia"/>
        </w:rPr>
        <w:t>。</w:t>
      </w:r>
    </w:p>
    <w:p w14:paraId="62E50BDE" w14:textId="77777777" w:rsidR="00C66291" w:rsidRDefault="00C66291" w:rsidP="00C66291">
      <w:pPr>
        <w:ind w:firstLine="480"/>
      </w:pPr>
      <w:r>
        <w:t>1</w:t>
      </w:r>
      <w:r>
        <w:rPr>
          <w:rFonts w:hint="eastAsia"/>
        </w:rPr>
        <w:t>）</w:t>
      </w:r>
      <w:r w:rsidRPr="00915C9A">
        <w:rPr>
          <w:rFonts w:hint="eastAsia"/>
        </w:rPr>
        <w:t>自评得分</w:t>
      </w:r>
      <w:r>
        <w:rPr>
          <w:rFonts w:hint="eastAsia"/>
        </w:rPr>
        <w:t>：</w:t>
      </w:r>
    </w:p>
    <w:p w14:paraId="08052E80" w14:textId="77777777" w:rsidR="00C66291" w:rsidRPr="00915C9A" w:rsidRDefault="00C66291" w:rsidP="00C66291">
      <w:pPr>
        <w:ind w:firstLine="480"/>
      </w:pPr>
      <w:r w:rsidRPr="00915C9A">
        <w:t>2</w:t>
      </w:r>
      <w:r>
        <w:rPr>
          <w:rFonts w:hint="eastAsia"/>
        </w:rPr>
        <w:t>）</w:t>
      </w:r>
      <w:r w:rsidRPr="00915C9A">
        <w:rPr>
          <w:rFonts w:hint="eastAsia"/>
        </w:rPr>
        <w:t>得分说明：简要说明得分原因</w:t>
      </w:r>
      <w:r>
        <w:rPr>
          <w:rFonts w:hint="eastAsia"/>
        </w:rPr>
        <w:t>，如有计算过程请说明计算过程。</w:t>
      </w:r>
    </w:p>
    <w:p w14:paraId="49D598BA" w14:textId="77777777" w:rsidR="00C66291" w:rsidRDefault="00C66291" w:rsidP="00C66291">
      <w:pPr>
        <w:ind w:firstLine="480"/>
      </w:pPr>
      <w:r w:rsidRPr="00915C9A">
        <w:t>3</w:t>
      </w:r>
      <w:r>
        <w:rPr>
          <w:rFonts w:hint="eastAsia"/>
        </w:rPr>
        <w:t>）</w:t>
      </w:r>
      <w:r w:rsidRPr="00915C9A">
        <w:rPr>
          <w:rFonts w:hint="eastAsia"/>
        </w:rPr>
        <w:t>证明材料：注明实际提交材料名称，标</w:t>
      </w:r>
      <w:r>
        <w:rPr>
          <w:rFonts w:hint="eastAsia"/>
        </w:rPr>
        <w:t>注</w:t>
      </w:r>
      <w:r w:rsidRPr="00915C9A">
        <w:rPr>
          <w:rFonts w:hint="eastAsia"/>
        </w:rPr>
        <w:t>清楚得分项在证明材料中的具体位置</w:t>
      </w:r>
      <w:r>
        <w:rPr>
          <w:rFonts w:hint="eastAsia"/>
        </w:rPr>
        <w:t>。</w:t>
      </w:r>
    </w:p>
    <w:p w14:paraId="4A1258C8" w14:textId="725EA4CE" w:rsidR="00C66291" w:rsidRPr="00C66291" w:rsidRDefault="00C66291" w:rsidP="00C66291">
      <w:pPr>
        <w:ind w:firstLine="480"/>
      </w:pPr>
    </w:p>
    <w:p w14:paraId="69D1A25C" w14:textId="2FD9BC8F" w:rsidR="00C66291" w:rsidRDefault="00C66291" w:rsidP="00505AEA">
      <w:pPr>
        <w:ind w:firstLine="480"/>
        <w:rPr>
          <w:rFonts w:hint="eastAsia"/>
        </w:rPr>
      </w:pPr>
      <w:r>
        <w:br w:type="page"/>
      </w:r>
    </w:p>
    <w:p w14:paraId="2E4AD20E" w14:textId="37D47CE8" w:rsidR="00C66291" w:rsidRDefault="00C66291" w:rsidP="00C66291">
      <w:pPr>
        <w:pStyle w:val="2"/>
      </w:pPr>
      <w:r>
        <w:rPr>
          <w:rFonts w:hint="eastAsia"/>
        </w:rPr>
        <w:lastRenderedPageBreak/>
        <w:t>10</w:t>
      </w:r>
      <w:r>
        <w:rPr>
          <w:rFonts w:hint="eastAsia"/>
        </w:rPr>
        <w:t>、</w:t>
      </w:r>
      <w:r w:rsidR="00505AEA">
        <w:rPr>
          <w:rFonts w:hint="eastAsia"/>
        </w:rPr>
        <w:t>优选项</w:t>
      </w:r>
    </w:p>
    <w:tbl>
      <w:tblPr>
        <w:tblW w:w="5000" w:type="pct"/>
        <w:tblLook w:val="04A0" w:firstRow="1" w:lastRow="0" w:firstColumn="1" w:lastColumn="0" w:noHBand="0" w:noVBand="1"/>
      </w:tblPr>
      <w:tblGrid>
        <w:gridCol w:w="717"/>
        <w:gridCol w:w="876"/>
        <w:gridCol w:w="1475"/>
        <w:gridCol w:w="2449"/>
        <w:gridCol w:w="695"/>
        <w:gridCol w:w="695"/>
        <w:gridCol w:w="695"/>
        <w:gridCol w:w="694"/>
      </w:tblGrid>
      <w:tr w:rsidR="00505AEA" w:rsidRPr="00505AEA" w14:paraId="11835F91" w14:textId="77777777" w:rsidTr="00505AEA">
        <w:trPr>
          <w:trHeight w:val="508"/>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D252C" w14:textId="77777777" w:rsidR="00505AEA" w:rsidRPr="00505AEA" w:rsidRDefault="00505AEA" w:rsidP="00AE7D83">
            <w:pPr>
              <w:widowControl/>
              <w:spacing w:line="240" w:lineRule="auto"/>
              <w:ind w:firstLineChars="0" w:firstLine="0"/>
              <w:jc w:val="center"/>
              <w:rPr>
                <w:rFonts w:ascii="宋体" w:hAnsi="宋体" w:cs="宋体"/>
                <w:b/>
                <w:bCs/>
                <w:color w:val="000000"/>
                <w:kern w:val="0"/>
                <w:sz w:val="22"/>
              </w:rPr>
            </w:pPr>
            <w:r w:rsidRPr="00505AEA">
              <w:rPr>
                <w:rFonts w:ascii="宋体" w:hAnsi="宋体" w:cs="宋体" w:hint="eastAsia"/>
                <w:b/>
                <w:bCs/>
                <w:color w:val="000000"/>
                <w:kern w:val="0"/>
                <w:sz w:val="22"/>
              </w:rPr>
              <w:t>指标类别</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7E6DE" w14:textId="77777777" w:rsidR="00505AEA" w:rsidRPr="00505AEA" w:rsidRDefault="00505AEA" w:rsidP="00AE7D83">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编码</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0C357" w14:textId="77777777" w:rsidR="00505AEA" w:rsidRPr="00505AEA" w:rsidRDefault="00505AEA" w:rsidP="00AE7D83">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评价类别</w:t>
            </w:r>
          </w:p>
        </w:tc>
        <w:tc>
          <w:tcPr>
            <w:tcW w:w="1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2C1A3" w14:textId="77777777" w:rsidR="00505AEA" w:rsidRPr="00505AEA" w:rsidRDefault="00505AEA" w:rsidP="00AE7D83">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评价内容</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B6CAD" w14:textId="77777777" w:rsidR="00505AEA" w:rsidRPr="00505AEA" w:rsidRDefault="00505AEA" w:rsidP="00AE7D83">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评价档次</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4CFE4" w14:textId="77777777" w:rsidR="00505AEA" w:rsidRPr="00505AEA" w:rsidRDefault="00505AEA" w:rsidP="00AE7D83">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自评分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8034C" w14:textId="77777777" w:rsidR="00505AEA" w:rsidRPr="00505AEA" w:rsidRDefault="00505AEA" w:rsidP="00AE7D83">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自评得分</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32732" w14:textId="77777777" w:rsidR="00505AEA" w:rsidRPr="00505AEA" w:rsidRDefault="00505AEA" w:rsidP="00AE7D83">
            <w:pPr>
              <w:widowControl/>
              <w:spacing w:line="240" w:lineRule="auto"/>
              <w:ind w:firstLineChars="0" w:firstLine="0"/>
              <w:jc w:val="center"/>
              <w:rPr>
                <w:rFonts w:ascii="宋体" w:hAnsi="宋体" w:cs="宋体"/>
                <w:b/>
                <w:color w:val="000000"/>
                <w:kern w:val="0"/>
                <w:sz w:val="22"/>
              </w:rPr>
            </w:pPr>
            <w:r w:rsidRPr="00505AEA">
              <w:rPr>
                <w:rFonts w:ascii="宋体" w:hAnsi="宋体" w:cs="宋体" w:hint="eastAsia"/>
                <w:b/>
                <w:color w:val="000000"/>
                <w:kern w:val="0"/>
                <w:sz w:val="22"/>
              </w:rPr>
              <w:t>备注</w:t>
            </w:r>
          </w:p>
        </w:tc>
      </w:tr>
      <w:tr w:rsidR="00505AEA" w:rsidRPr="00737AB2" w14:paraId="35917E08" w14:textId="77777777" w:rsidTr="00505AEA">
        <w:trPr>
          <w:trHeight w:val="2280"/>
        </w:trPr>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FD9EF" w14:textId="77777777" w:rsidR="00505AEA" w:rsidRPr="00737AB2" w:rsidRDefault="00505AEA" w:rsidP="00AE7D83">
            <w:pPr>
              <w:widowControl/>
              <w:spacing w:line="240" w:lineRule="auto"/>
              <w:ind w:firstLineChars="0" w:firstLine="0"/>
              <w:jc w:val="center"/>
              <w:rPr>
                <w:rFonts w:ascii="宋体" w:hAnsi="宋体" w:cs="宋体"/>
                <w:b/>
                <w:bCs/>
                <w:color w:val="000000"/>
                <w:kern w:val="0"/>
                <w:sz w:val="22"/>
              </w:rPr>
            </w:pPr>
            <w:r w:rsidRPr="00737AB2">
              <w:rPr>
                <w:rFonts w:ascii="宋体" w:hAnsi="宋体" w:cs="宋体" w:hint="eastAsia"/>
                <w:b/>
                <w:bCs/>
                <w:color w:val="000000"/>
                <w:kern w:val="0"/>
                <w:sz w:val="22"/>
              </w:rPr>
              <w:t>优选项</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7AE85BF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10.1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14:paraId="3F1E2BFE"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对有历史文化街区或文物保护单位的社区，应制定相关保护策略确保其不受破坏；对社区内有一定文化价值的既有建筑或景观，优先考虑活化和生态化改造再利用</w:t>
            </w:r>
          </w:p>
        </w:tc>
        <w:tc>
          <w:tcPr>
            <w:tcW w:w="1476" w:type="pct"/>
            <w:tcBorders>
              <w:top w:val="single" w:sz="4" w:space="0" w:color="auto"/>
              <w:left w:val="nil"/>
              <w:bottom w:val="single" w:sz="4" w:space="0" w:color="auto"/>
              <w:right w:val="single" w:sz="4" w:space="0" w:color="000000"/>
            </w:tcBorders>
            <w:shd w:val="clear" w:color="auto" w:fill="auto"/>
            <w:vAlign w:val="center"/>
            <w:hideMark/>
          </w:tcPr>
          <w:p w14:paraId="038A7E7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322C19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1768E12C"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2D931473"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E8453D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2A0B9172" w14:textId="77777777" w:rsidTr="00505AEA">
        <w:trPr>
          <w:trHeight w:val="960"/>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299CB66D"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tcBorders>
              <w:top w:val="nil"/>
              <w:left w:val="nil"/>
              <w:bottom w:val="single" w:sz="4" w:space="0" w:color="auto"/>
              <w:right w:val="single" w:sz="4" w:space="0" w:color="auto"/>
            </w:tcBorders>
            <w:shd w:val="clear" w:color="auto" w:fill="auto"/>
            <w:vAlign w:val="center"/>
            <w:hideMark/>
          </w:tcPr>
          <w:p w14:paraId="7C0F2BF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10.2</w:t>
            </w:r>
          </w:p>
        </w:tc>
        <w:tc>
          <w:tcPr>
            <w:tcW w:w="889" w:type="pct"/>
            <w:tcBorders>
              <w:top w:val="nil"/>
              <w:left w:val="nil"/>
              <w:bottom w:val="single" w:sz="4" w:space="0" w:color="auto"/>
              <w:right w:val="single" w:sz="4" w:space="0" w:color="auto"/>
            </w:tcBorders>
            <w:shd w:val="clear" w:color="auto" w:fill="auto"/>
            <w:vAlign w:val="center"/>
            <w:hideMark/>
          </w:tcPr>
          <w:p w14:paraId="6D15AD2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社区规划与建筑、景观设计体现地方特色与文化</w:t>
            </w:r>
          </w:p>
        </w:tc>
        <w:tc>
          <w:tcPr>
            <w:tcW w:w="1476" w:type="pct"/>
            <w:tcBorders>
              <w:top w:val="single" w:sz="4" w:space="0" w:color="auto"/>
              <w:left w:val="nil"/>
              <w:bottom w:val="single" w:sz="4" w:space="0" w:color="auto"/>
              <w:right w:val="single" w:sz="4" w:space="0" w:color="000000"/>
            </w:tcBorders>
            <w:shd w:val="clear" w:color="auto" w:fill="auto"/>
            <w:vAlign w:val="center"/>
            <w:hideMark/>
          </w:tcPr>
          <w:p w14:paraId="73A124C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w:t>
            </w:r>
          </w:p>
        </w:tc>
        <w:tc>
          <w:tcPr>
            <w:tcW w:w="419" w:type="pct"/>
            <w:tcBorders>
              <w:top w:val="nil"/>
              <w:left w:val="nil"/>
              <w:bottom w:val="single" w:sz="4" w:space="0" w:color="auto"/>
              <w:right w:val="single" w:sz="4" w:space="0" w:color="auto"/>
            </w:tcBorders>
            <w:shd w:val="clear" w:color="auto" w:fill="auto"/>
            <w:vAlign w:val="center"/>
            <w:hideMark/>
          </w:tcPr>
          <w:p w14:paraId="080C141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526BD30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nil"/>
              <w:left w:val="nil"/>
              <w:bottom w:val="single" w:sz="4" w:space="0" w:color="auto"/>
              <w:right w:val="single" w:sz="4" w:space="0" w:color="auto"/>
            </w:tcBorders>
            <w:shd w:val="clear" w:color="auto" w:fill="auto"/>
            <w:vAlign w:val="center"/>
            <w:hideMark/>
          </w:tcPr>
          <w:p w14:paraId="0D8BAC7B"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4264A49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7FED4B61" w14:textId="77777777" w:rsidTr="00505AEA">
        <w:trPr>
          <w:trHeight w:val="912"/>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18D792AA"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tcBorders>
              <w:top w:val="nil"/>
              <w:left w:val="nil"/>
              <w:bottom w:val="single" w:sz="4" w:space="0" w:color="auto"/>
              <w:right w:val="single" w:sz="4" w:space="0" w:color="auto"/>
            </w:tcBorders>
            <w:shd w:val="clear" w:color="auto" w:fill="auto"/>
            <w:vAlign w:val="center"/>
            <w:hideMark/>
          </w:tcPr>
          <w:p w14:paraId="21224BD7"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10.3</w:t>
            </w:r>
          </w:p>
        </w:tc>
        <w:tc>
          <w:tcPr>
            <w:tcW w:w="889" w:type="pct"/>
            <w:tcBorders>
              <w:top w:val="nil"/>
              <w:left w:val="nil"/>
              <w:bottom w:val="single" w:sz="4" w:space="0" w:color="auto"/>
              <w:right w:val="single" w:sz="4" w:space="0" w:color="auto"/>
            </w:tcBorders>
            <w:shd w:val="clear" w:color="auto" w:fill="auto"/>
            <w:vAlign w:val="center"/>
            <w:hideMark/>
          </w:tcPr>
          <w:p w14:paraId="3BC446E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社区规划都市农业区域，且形成一定规模化示范效应</w:t>
            </w:r>
          </w:p>
        </w:tc>
        <w:tc>
          <w:tcPr>
            <w:tcW w:w="1476" w:type="pct"/>
            <w:tcBorders>
              <w:top w:val="single" w:sz="4" w:space="0" w:color="auto"/>
              <w:left w:val="nil"/>
              <w:bottom w:val="single" w:sz="4" w:space="0" w:color="auto"/>
              <w:right w:val="single" w:sz="4" w:space="0" w:color="000000"/>
            </w:tcBorders>
            <w:shd w:val="clear" w:color="auto" w:fill="auto"/>
            <w:vAlign w:val="center"/>
            <w:hideMark/>
          </w:tcPr>
          <w:p w14:paraId="73E0F6EA"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w:t>
            </w:r>
          </w:p>
        </w:tc>
        <w:tc>
          <w:tcPr>
            <w:tcW w:w="419" w:type="pct"/>
            <w:tcBorders>
              <w:top w:val="nil"/>
              <w:left w:val="nil"/>
              <w:bottom w:val="single" w:sz="4" w:space="0" w:color="auto"/>
              <w:right w:val="single" w:sz="4" w:space="0" w:color="auto"/>
            </w:tcBorders>
            <w:shd w:val="clear" w:color="auto" w:fill="auto"/>
            <w:vAlign w:val="center"/>
            <w:hideMark/>
          </w:tcPr>
          <w:p w14:paraId="186D5789"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35C3E53B"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tcBorders>
              <w:top w:val="nil"/>
              <w:left w:val="nil"/>
              <w:bottom w:val="single" w:sz="4" w:space="0" w:color="auto"/>
              <w:right w:val="single" w:sz="4" w:space="0" w:color="auto"/>
            </w:tcBorders>
            <w:shd w:val="clear" w:color="auto" w:fill="auto"/>
            <w:vAlign w:val="center"/>
            <w:hideMark/>
          </w:tcPr>
          <w:p w14:paraId="373DE6B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5CC80178"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1FDF8430" w14:textId="77777777" w:rsidTr="00505AEA">
        <w:trPr>
          <w:trHeight w:val="702"/>
        </w:trPr>
        <w:tc>
          <w:tcPr>
            <w:tcW w:w="432" w:type="pct"/>
            <w:vMerge/>
            <w:tcBorders>
              <w:top w:val="nil"/>
              <w:left w:val="single" w:sz="4" w:space="0" w:color="auto"/>
              <w:bottom w:val="single" w:sz="4" w:space="0" w:color="000000"/>
              <w:right w:val="single" w:sz="4" w:space="0" w:color="auto"/>
            </w:tcBorders>
            <w:shd w:val="clear" w:color="auto" w:fill="auto"/>
            <w:vAlign w:val="center"/>
            <w:hideMark/>
          </w:tcPr>
          <w:p w14:paraId="4D71D2EE"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22B5D6B2"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10.4</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14:paraId="34FA2329"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结合本土条件因地制宜地采取节约资源、保护生态环境、保障安全健康其他创新绿色生态技术，并有明显效益</w:t>
            </w:r>
          </w:p>
        </w:tc>
        <w:tc>
          <w:tcPr>
            <w:tcW w:w="1476" w:type="pct"/>
            <w:tcBorders>
              <w:top w:val="single" w:sz="4" w:space="0" w:color="auto"/>
              <w:left w:val="nil"/>
              <w:bottom w:val="single" w:sz="4" w:space="0" w:color="auto"/>
              <w:right w:val="single" w:sz="4" w:space="0" w:color="000000"/>
            </w:tcBorders>
            <w:shd w:val="clear" w:color="auto" w:fill="auto"/>
            <w:vAlign w:val="center"/>
            <w:hideMark/>
          </w:tcPr>
          <w:p w14:paraId="7B23B415" w14:textId="77777777" w:rsidR="00505AEA" w:rsidRPr="00737AB2" w:rsidRDefault="00505AEA" w:rsidP="00AE7D83">
            <w:pPr>
              <w:widowControl/>
              <w:spacing w:line="240" w:lineRule="auto"/>
              <w:ind w:firstLineChars="0" w:firstLine="0"/>
              <w:jc w:val="center"/>
              <w:rPr>
                <w:rFonts w:ascii="Calibri" w:hAnsi="Calibri" w:cs="Calibri"/>
                <w:color w:val="000000"/>
                <w:kern w:val="0"/>
                <w:sz w:val="22"/>
              </w:rPr>
            </w:pPr>
            <w:r w:rsidRPr="00737AB2">
              <w:rPr>
                <w:rFonts w:ascii="Calibri" w:hAnsi="Calibri" w:cs="Calibri"/>
                <w:color w:val="000000"/>
                <w:kern w:val="0"/>
                <w:sz w:val="22"/>
              </w:rPr>
              <w:t>1</w:t>
            </w:r>
            <w:r w:rsidRPr="00737AB2">
              <w:rPr>
                <w:rFonts w:ascii="宋体" w:hAnsi="宋体" w:cs="Calibri" w:hint="eastAsia"/>
                <w:color w:val="000000"/>
                <w:kern w:val="0"/>
                <w:sz w:val="22"/>
              </w:rPr>
              <w:t>项</w:t>
            </w:r>
          </w:p>
        </w:tc>
        <w:tc>
          <w:tcPr>
            <w:tcW w:w="419" w:type="pct"/>
            <w:tcBorders>
              <w:top w:val="nil"/>
              <w:left w:val="nil"/>
              <w:bottom w:val="single" w:sz="4" w:space="0" w:color="auto"/>
              <w:right w:val="single" w:sz="4" w:space="0" w:color="auto"/>
            </w:tcBorders>
            <w:shd w:val="clear" w:color="auto" w:fill="auto"/>
            <w:vAlign w:val="center"/>
            <w:hideMark/>
          </w:tcPr>
          <w:p w14:paraId="23C081D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1</w:t>
            </w:r>
          </w:p>
        </w:tc>
        <w:tc>
          <w:tcPr>
            <w:tcW w:w="419" w:type="pct"/>
            <w:tcBorders>
              <w:top w:val="nil"/>
              <w:left w:val="nil"/>
              <w:bottom w:val="single" w:sz="4" w:space="0" w:color="auto"/>
              <w:right w:val="single" w:sz="4" w:space="0" w:color="auto"/>
            </w:tcBorders>
            <w:shd w:val="clear" w:color="auto" w:fill="auto"/>
            <w:vAlign w:val="center"/>
            <w:hideMark/>
          </w:tcPr>
          <w:p w14:paraId="2B40EFE4"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753FC3CF"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2A47CF1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r>
      <w:tr w:rsidR="00505AEA" w:rsidRPr="00737AB2" w14:paraId="504DEF93" w14:textId="77777777" w:rsidTr="00505AEA">
        <w:trPr>
          <w:trHeight w:val="702"/>
        </w:trPr>
        <w:tc>
          <w:tcPr>
            <w:tcW w:w="432" w:type="pct"/>
            <w:vMerge/>
            <w:tcBorders>
              <w:top w:val="nil"/>
              <w:left w:val="single" w:sz="4" w:space="0" w:color="auto"/>
              <w:bottom w:val="single" w:sz="4" w:space="0" w:color="auto"/>
              <w:right w:val="single" w:sz="4" w:space="0" w:color="auto"/>
            </w:tcBorders>
            <w:shd w:val="clear" w:color="auto" w:fill="auto"/>
            <w:vAlign w:val="center"/>
            <w:hideMark/>
          </w:tcPr>
          <w:p w14:paraId="5CDEE413" w14:textId="77777777" w:rsidR="00505AEA" w:rsidRPr="00737AB2" w:rsidRDefault="00505AEA" w:rsidP="00AE7D83">
            <w:pPr>
              <w:widowControl/>
              <w:spacing w:line="240" w:lineRule="auto"/>
              <w:ind w:firstLineChars="0" w:firstLine="0"/>
              <w:jc w:val="left"/>
              <w:rPr>
                <w:rFonts w:ascii="宋体" w:hAnsi="宋体" w:cs="宋体"/>
                <w:b/>
                <w:bCs/>
                <w:color w:val="000000"/>
                <w:kern w:val="0"/>
                <w:sz w:val="22"/>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14:paraId="6DE0A768"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889" w:type="pct"/>
            <w:vMerge/>
            <w:tcBorders>
              <w:top w:val="nil"/>
              <w:left w:val="single" w:sz="4" w:space="0" w:color="auto"/>
              <w:bottom w:val="single" w:sz="4" w:space="0" w:color="auto"/>
              <w:right w:val="single" w:sz="4" w:space="0" w:color="auto"/>
            </w:tcBorders>
            <w:shd w:val="clear" w:color="auto" w:fill="auto"/>
            <w:vAlign w:val="center"/>
            <w:hideMark/>
          </w:tcPr>
          <w:p w14:paraId="5E83404F"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1476" w:type="pct"/>
            <w:tcBorders>
              <w:top w:val="single" w:sz="4" w:space="0" w:color="auto"/>
              <w:left w:val="nil"/>
              <w:bottom w:val="single" w:sz="4" w:space="0" w:color="auto"/>
              <w:right w:val="single" w:sz="4" w:space="0" w:color="000000"/>
            </w:tcBorders>
            <w:shd w:val="clear" w:color="auto" w:fill="auto"/>
            <w:vAlign w:val="center"/>
            <w:hideMark/>
          </w:tcPr>
          <w:p w14:paraId="6C46F688" w14:textId="77777777" w:rsidR="00505AEA" w:rsidRPr="00737AB2" w:rsidRDefault="00505AEA" w:rsidP="00AE7D83">
            <w:pPr>
              <w:widowControl/>
              <w:spacing w:line="240" w:lineRule="auto"/>
              <w:ind w:firstLineChars="0" w:firstLine="0"/>
              <w:jc w:val="center"/>
              <w:rPr>
                <w:rFonts w:ascii="Calibri" w:hAnsi="Calibri" w:cs="Calibri"/>
                <w:color w:val="000000"/>
                <w:kern w:val="0"/>
                <w:sz w:val="22"/>
              </w:rPr>
            </w:pPr>
            <w:r w:rsidRPr="00737AB2">
              <w:rPr>
                <w:rFonts w:ascii="Calibri" w:hAnsi="Calibri" w:cs="Calibri"/>
                <w:color w:val="000000"/>
                <w:kern w:val="0"/>
                <w:sz w:val="22"/>
              </w:rPr>
              <w:t>2</w:t>
            </w:r>
            <w:r w:rsidRPr="00737AB2">
              <w:rPr>
                <w:rFonts w:ascii="宋体" w:hAnsi="宋体" w:cs="Calibri" w:hint="eastAsia"/>
                <w:color w:val="000000"/>
                <w:kern w:val="0"/>
                <w:sz w:val="22"/>
              </w:rPr>
              <w:t>项及以上</w:t>
            </w:r>
          </w:p>
        </w:tc>
        <w:tc>
          <w:tcPr>
            <w:tcW w:w="419" w:type="pct"/>
            <w:tcBorders>
              <w:top w:val="nil"/>
              <w:left w:val="nil"/>
              <w:bottom w:val="single" w:sz="4" w:space="0" w:color="auto"/>
              <w:right w:val="single" w:sz="4" w:space="0" w:color="auto"/>
            </w:tcBorders>
            <w:shd w:val="clear" w:color="auto" w:fill="auto"/>
            <w:vAlign w:val="center"/>
            <w:hideMark/>
          </w:tcPr>
          <w:p w14:paraId="796CA575"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2</w:t>
            </w:r>
          </w:p>
        </w:tc>
        <w:tc>
          <w:tcPr>
            <w:tcW w:w="419" w:type="pct"/>
            <w:tcBorders>
              <w:top w:val="nil"/>
              <w:left w:val="nil"/>
              <w:bottom w:val="single" w:sz="4" w:space="0" w:color="auto"/>
              <w:right w:val="single" w:sz="4" w:space="0" w:color="auto"/>
            </w:tcBorders>
            <w:shd w:val="clear" w:color="auto" w:fill="auto"/>
            <w:vAlign w:val="center"/>
            <w:hideMark/>
          </w:tcPr>
          <w:p w14:paraId="581462A1" w14:textId="77777777" w:rsidR="00505AEA" w:rsidRPr="00737AB2" w:rsidRDefault="00505AEA" w:rsidP="00AE7D83">
            <w:pPr>
              <w:widowControl/>
              <w:spacing w:line="240" w:lineRule="auto"/>
              <w:ind w:firstLineChars="0" w:firstLine="0"/>
              <w:jc w:val="center"/>
              <w:rPr>
                <w:rFonts w:ascii="宋体" w:hAnsi="宋体" w:cs="宋体"/>
                <w:color w:val="000000"/>
                <w:kern w:val="0"/>
                <w:sz w:val="22"/>
              </w:rPr>
            </w:pPr>
            <w:r w:rsidRPr="00737AB2">
              <w:rPr>
                <w:rFonts w:ascii="宋体" w:hAnsi="宋体" w:cs="宋体" w:hint="eastAsia"/>
                <w:color w:val="000000"/>
                <w:kern w:val="0"/>
                <w:sz w:val="22"/>
              </w:rPr>
              <w:t xml:space="preserve">　</w:t>
            </w:r>
          </w:p>
        </w:tc>
        <w:tc>
          <w:tcPr>
            <w:tcW w:w="419" w:type="pct"/>
            <w:vMerge/>
            <w:tcBorders>
              <w:top w:val="nil"/>
              <w:left w:val="single" w:sz="4" w:space="0" w:color="auto"/>
              <w:bottom w:val="single" w:sz="4" w:space="0" w:color="auto"/>
              <w:right w:val="single" w:sz="4" w:space="0" w:color="auto"/>
            </w:tcBorders>
            <w:shd w:val="clear" w:color="auto" w:fill="auto"/>
            <w:vAlign w:val="center"/>
            <w:hideMark/>
          </w:tcPr>
          <w:p w14:paraId="21188E56"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c>
          <w:tcPr>
            <w:tcW w:w="418" w:type="pct"/>
            <w:vMerge/>
            <w:tcBorders>
              <w:top w:val="nil"/>
              <w:left w:val="single" w:sz="4" w:space="0" w:color="auto"/>
              <w:bottom w:val="single" w:sz="4" w:space="0" w:color="auto"/>
              <w:right w:val="single" w:sz="4" w:space="0" w:color="auto"/>
            </w:tcBorders>
            <w:shd w:val="clear" w:color="auto" w:fill="auto"/>
            <w:vAlign w:val="center"/>
            <w:hideMark/>
          </w:tcPr>
          <w:p w14:paraId="46193689"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r w:rsidR="00505AEA" w:rsidRPr="00737AB2" w14:paraId="289D340A" w14:textId="77777777" w:rsidTr="00505AEA">
        <w:trPr>
          <w:trHeight w:val="56"/>
        </w:trPr>
        <w:tc>
          <w:tcPr>
            <w:tcW w:w="41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D7EA4A" w14:textId="6E7BDBBA" w:rsidR="00505AEA" w:rsidRPr="00737AB2" w:rsidRDefault="00505AEA" w:rsidP="00AE7D83">
            <w:pPr>
              <w:widowControl/>
              <w:spacing w:line="240" w:lineRule="auto"/>
              <w:ind w:firstLineChars="0" w:firstLine="0"/>
              <w:jc w:val="center"/>
              <w:rPr>
                <w:rFonts w:ascii="宋体" w:hAnsi="宋体" w:cs="宋体" w:hint="eastAsia"/>
                <w:color w:val="000000"/>
                <w:kern w:val="0"/>
                <w:sz w:val="22"/>
              </w:rPr>
            </w:pPr>
            <w:r>
              <w:rPr>
                <w:rFonts w:ascii="宋体" w:hAnsi="宋体" w:cs="宋体" w:hint="eastAsia"/>
                <w:color w:val="000000"/>
                <w:kern w:val="0"/>
                <w:sz w:val="22"/>
              </w:rPr>
              <w:t>合计</w:t>
            </w:r>
          </w:p>
        </w:tc>
        <w:tc>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23BCE" w14:textId="77777777" w:rsidR="00505AEA" w:rsidRPr="00737AB2" w:rsidRDefault="00505AEA" w:rsidP="00AE7D83">
            <w:pPr>
              <w:widowControl/>
              <w:spacing w:line="240" w:lineRule="auto"/>
              <w:ind w:firstLineChars="0" w:firstLine="0"/>
              <w:jc w:val="left"/>
              <w:rPr>
                <w:rFonts w:ascii="宋体" w:hAnsi="宋体" w:cs="宋体"/>
                <w:color w:val="000000"/>
                <w:kern w:val="0"/>
                <w:sz w:val="22"/>
              </w:rPr>
            </w:pPr>
          </w:p>
        </w:tc>
      </w:tr>
    </w:tbl>
    <w:p w14:paraId="1131462C" w14:textId="77777777" w:rsidR="00505AEA" w:rsidRDefault="00505AEA" w:rsidP="00505AEA">
      <w:pPr>
        <w:ind w:firstLine="480"/>
      </w:pPr>
      <w:r>
        <w:rPr>
          <w:rFonts w:hint="eastAsia"/>
        </w:rPr>
        <w:t>对每项进行</w:t>
      </w:r>
      <w:r w:rsidRPr="00915C9A">
        <w:rPr>
          <w:rFonts w:hint="eastAsia"/>
        </w:rPr>
        <w:t>自评得分</w:t>
      </w:r>
      <w:r>
        <w:rPr>
          <w:rFonts w:hint="eastAsia"/>
        </w:rPr>
        <w:t>、得分说明，提交证明材料，格式如下：</w:t>
      </w:r>
    </w:p>
    <w:p w14:paraId="421DA583" w14:textId="41433028" w:rsidR="00C66291" w:rsidRDefault="00C66291" w:rsidP="00C66291">
      <w:pPr>
        <w:ind w:firstLine="480"/>
      </w:pPr>
      <w:r>
        <w:t>10</w:t>
      </w:r>
      <w:r>
        <w:rPr>
          <w:rFonts w:hint="eastAsia"/>
        </w:rPr>
        <w:t>.1</w:t>
      </w:r>
      <w:r w:rsidR="00505AEA" w:rsidRPr="00505AEA">
        <w:rPr>
          <w:rFonts w:hint="eastAsia"/>
        </w:rPr>
        <w:t>对有历史文化街区或文物保护单位的社区，应制定相关保护策略确保其不受破坏；对社区内有一定文化价值的既有建筑或景观，优先考虑活化和生态化</w:t>
      </w:r>
      <w:r w:rsidR="00505AEA" w:rsidRPr="00505AEA">
        <w:rPr>
          <w:rFonts w:hint="eastAsia"/>
        </w:rPr>
        <w:lastRenderedPageBreak/>
        <w:t>改造再利用</w:t>
      </w:r>
      <w:r>
        <w:rPr>
          <w:rFonts w:hint="eastAsia"/>
        </w:rPr>
        <w:t>。</w:t>
      </w:r>
    </w:p>
    <w:p w14:paraId="0663617E" w14:textId="77777777" w:rsidR="00C66291" w:rsidRDefault="00C66291" w:rsidP="00C66291">
      <w:pPr>
        <w:ind w:firstLine="480"/>
      </w:pPr>
      <w:r>
        <w:t>1</w:t>
      </w:r>
      <w:r>
        <w:rPr>
          <w:rFonts w:hint="eastAsia"/>
        </w:rPr>
        <w:t>）</w:t>
      </w:r>
      <w:r w:rsidRPr="00915C9A">
        <w:rPr>
          <w:rFonts w:hint="eastAsia"/>
        </w:rPr>
        <w:t>自评得分</w:t>
      </w:r>
      <w:r>
        <w:rPr>
          <w:rFonts w:hint="eastAsia"/>
        </w:rPr>
        <w:t>：</w:t>
      </w:r>
    </w:p>
    <w:p w14:paraId="2D9FDC84" w14:textId="77777777" w:rsidR="00C66291" w:rsidRPr="00915C9A" w:rsidRDefault="00C66291" w:rsidP="00C66291">
      <w:pPr>
        <w:ind w:firstLine="480"/>
      </w:pPr>
      <w:r w:rsidRPr="00915C9A">
        <w:t>2</w:t>
      </w:r>
      <w:r>
        <w:rPr>
          <w:rFonts w:hint="eastAsia"/>
        </w:rPr>
        <w:t>）</w:t>
      </w:r>
      <w:r w:rsidRPr="00915C9A">
        <w:rPr>
          <w:rFonts w:hint="eastAsia"/>
        </w:rPr>
        <w:t>得分说明：简要说明得分原因</w:t>
      </w:r>
      <w:r>
        <w:rPr>
          <w:rFonts w:hint="eastAsia"/>
        </w:rPr>
        <w:t>，如有计算过程请说明计算过程。</w:t>
      </w:r>
    </w:p>
    <w:p w14:paraId="68DB8134" w14:textId="77777777" w:rsidR="00C66291" w:rsidRDefault="00C66291" w:rsidP="00C66291">
      <w:pPr>
        <w:ind w:firstLine="480"/>
      </w:pPr>
      <w:r w:rsidRPr="00915C9A">
        <w:t>3</w:t>
      </w:r>
      <w:r>
        <w:rPr>
          <w:rFonts w:hint="eastAsia"/>
        </w:rPr>
        <w:t>）</w:t>
      </w:r>
      <w:r w:rsidRPr="00915C9A">
        <w:rPr>
          <w:rFonts w:hint="eastAsia"/>
        </w:rPr>
        <w:t>证明材料：注明实际提交材料名称，标</w:t>
      </w:r>
      <w:r>
        <w:rPr>
          <w:rFonts w:hint="eastAsia"/>
        </w:rPr>
        <w:t>注</w:t>
      </w:r>
      <w:r w:rsidRPr="00915C9A">
        <w:rPr>
          <w:rFonts w:hint="eastAsia"/>
        </w:rPr>
        <w:t>清楚得分项在证明材料中的具体位置</w:t>
      </w:r>
      <w:r>
        <w:rPr>
          <w:rFonts w:hint="eastAsia"/>
        </w:rPr>
        <w:t>。</w:t>
      </w:r>
    </w:p>
    <w:p w14:paraId="3B391332" w14:textId="77777777" w:rsidR="00C66291" w:rsidRPr="00C66291" w:rsidRDefault="00C66291" w:rsidP="00C66291">
      <w:pPr>
        <w:ind w:firstLine="480"/>
        <w:rPr>
          <w:rFonts w:hint="eastAsia"/>
        </w:rPr>
      </w:pPr>
    </w:p>
    <w:sectPr w:rsidR="00C66291" w:rsidRPr="00C662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2307B" w14:textId="77777777" w:rsidR="004164F4" w:rsidRDefault="004164F4" w:rsidP="00B46957">
      <w:pPr>
        <w:spacing w:line="240" w:lineRule="auto"/>
        <w:ind w:firstLine="480"/>
      </w:pPr>
      <w:r>
        <w:separator/>
      </w:r>
    </w:p>
  </w:endnote>
  <w:endnote w:type="continuationSeparator" w:id="0">
    <w:p w14:paraId="1376D3F8" w14:textId="77777777" w:rsidR="004164F4" w:rsidRDefault="004164F4" w:rsidP="00B4695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7202" w14:textId="77777777" w:rsidR="00C66291" w:rsidRDefault="00C6629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662E" w14:textId="77777777" w:rsidR="00C66291" w:rsidRDefault="00C6629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6A5A" w14:textId="77777777" w:rsidR="00C66291" w:rsidRDefault="00C6629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667B" w14:textId="77777777" w:rsidR="004164F4" w:rsidRDefault="004164F4" w:rsidP="00B46957">
      <w:pPr>
        <w:spacing w:line="240" w:lineRule="auto"/>
        <w:ind w:firstLine="480"/>
      </w:pPr>
      <w:r>
        <w:separator/>
      </w:r>
    </w:p>
  </w:footnote>
  <w:footnote w:type="continuationSeparator" w:id="0">
    <w:p w14:paraId="242681A3" w14:textId="77777777" w:rsidR="004164F4" w:rsidRDefault="004164F4" w:rsidP="00B4695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F5E8" w14:textId="77777777" w:rsidR="00C66291" w:rsidRDefault="00C6629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4C8E" w14:textId="77777777" w:rsidR="00C66291" w:rsidRDefault="00C6629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8706" w14:textId="77777777" w:rsidR="00C66291" w:rsidRDefault="00C6629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4F"/>
    <w:rsid w:val="000718DF"/>
    <w:rsid w:val="00090654"/>
    <w:rsid w:val="0012312E"/>
    <w:rsid w:val="001D1EB5"/>
    <w:rsid w:val="0020203B"/>
    <w:rsid w:val="003E3B6D"/>
    <w:rsid w:val="004164F4"/>
    <w:rsid w:val="004576EB"/>
    <w:rsid w:val="00505AEA"/>
    <w:rsid w:val="005500F0"/>
    <w:rsid w:val="005B10DC"/>
    <w:rsid w:val="00620F71"/>
    <w:rsid w:val="006356A7"/>
    <w:rsid w:val="0064111D"/>
    <w:rsid w:val="0065638E"/>
    <w:rsid w:val="00784512"/>
    <w:rsid w:val="00877457"/>
    <w:rsid w:val="008C6FF5"/>
    <w:rsid w:val="00910745"/>
    <w:rsid w:val="00915C9A"/>
    <w:rsid w:val="00A335D6"/>
    <w:rsid w:val="00A97809"/>
    <w:rsid w:val="00B21432"/>
    <w:rsid w:val="00B46957"/>
    <w:rsid w:val="00B80412"/>
    <w:rsid w:val="00BA2CD8"/>
    <w:rsid w:val="00C176D2"/>
    <w:rsid w:val="00C66291"/>
    <w:rsid w:val="00DA5514"/>
    <w:rsid w:val="00DD66FF"/>
    <w:rsid w:val="00DF7CF8"/>
    <w:rsid w:val="00E96D25"/>
    <w:rsid w:val="00EE55A6"/>
    <w:rsid w:val="00F263B0"/>
    <w:rsid w:val="00F67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0E8F2"/>
  <w15:chartTrackingRefBased/>
  <w15:docId w15:val="{40A838D4-8A96-44EC-9C3A-E2600270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C9A"/>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A97809"/>
    <w:pPr>
      <w:keepNext/>
      <w:keepLines/>
      <w:ind w:firstLineChars="0" w:firstLine="0"/>
      <w:outlineLvl w:val="0"/>
    </w:pPr>
    <w:rPr>
      <w:rFonts w:ascii="Calibri" w:hAnsi="Calibri" w:cs="Times New Roman"/>
      <w:b/>
      <w:bCs/>
      <w:kern w:val="44"/>
      <w:szCs w:val="44"/>
    </w:rPr>
  </w:style>
  <w:style w:type="paragraph" w:styleId="2">
    <w:name w:val="heading 2"/>
    <w:basedOn w:val="a"/>
    <w:next w:val="a"/>
    <w:link w:val="20"/>
    <w:uiPriority w:val="9"/>
    <w:unhideWhenUsed/>
    <w:qFormat/>
    <w:rsid w:val="00DA5514"/>
    <w:pPr>
      <w:keepNext/>
      <w:keepLines/>
      <w:ind w:firstLine="482"/>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809"/>
    <w:rPr>
      <w:rFonts w:ascii="Calibri" w:eastAsia="宋体" w:hAnsi="Calibri" w:cs="Times New Roman"/>
      <w:b/>
      <w:bCs/>
      <w:kern w:val="44"/>
      <w:sz w:val="24"/>
      <w:szCs w:val="44"/>
    </w:rPr>
  </w:style>
  <w:style w:type="paragraph" w:customStyle="1" w:styleId="p0">
    <w:name w:val="p0"/>
    <w:basedOn w:val="a"/>
    <w:rsid w:val="004576EB"/>
    <w:pPr>
      <w:widowControl/>
    </w:pPr>
    <w:rPr>
      <w:rFonts w:cs="Times New Roman"/>
      <w:kern w:val="0"/>
      <w:szCs w:val="21"/>
    </w:rPr>
  </w:style>
  <w:style w:type="paragraph" w:styleId="a3">
    <w:name w:val="header"/>
    <w:basedOn w:val="a"/>
    <w:link w:val="a4"/>
    <w:uiPriority w:val="99"/>
    <w:unhideWhenUsed/>
    <w:rsid w:val="00B469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6957"/>
    <w:rPr>
      <w:sz w:val="18"/>
      <w:szCs w:val="18"/>
    </w:rPr>
  </w:style>
  <w:style w:type="paragraph" w:styleId="a5">
    <w:name w:val="footer"/>
    <w:basedOn w:val="a"/>
    <w:link w:val="a6"/>
    <w:uiPriority w:val="99"/>
    <w:unhideWhenUsed/>
    <w:rsid w:val="00B46957"/>
    <w:pPr>
      <w:tabs>
        <w:tab w:val="center" w:pos="4153"/>
        <w:tab w:val="right" w:pos="8306"/>
      </w:tabs>
      <w:snapToGrid w:val="0"/>
      <w:jc w:val="left"/>
    </w:pPr>
    <w:rPr>
      <w:sz w:val="18"/>
      <w:szCs w:val="18"/>
    </w:rPr>
  </w:style>
  <w:style w:type="character" w:customStyle="1" w:styleId="a6">
    <w:name w:val="页脚 字符"/>
    <w:basedOn w:val="a0"/>
    <w:link w:val="a5"/>
    <w:uiPriority w:val="99"/>
    <w:rsid w:val="00B46957"/>
    <w:rPr>
      <w:sz w:val="18"/>
      <w:szCs w:val="18"/>
    </w:rPr>
  </w:style>
  <w:style w:type="character" w:customStyle="1" w:styleId="20">
    <w:name w:val="标题 2 字符"/>
    <w:basedOn w:val="a0"/>
    <w:link w:val="2"/>
    <w:uiPriority w:val="9"/>
    <w:rsid w:val="00DA5514"/>
    <w:rPr>
      <w:rFonts w:ascii="Times New Roman" w:eastAsia="宋体" w:hAnsi="Times New Roman" w:cstheme="majorBidi"/>
      <w:b/>
      <w:bCs/>
      <w:sz w:val="24"/>
      <w:szCs w:val="32"/>
    </w:rPr>
  </w:style>
  <w:style w:type="character" w:styleId="a7">
    <w:name w:val="annotation reference"/>
    <w:basedOn w:val="a0"/>
    <w:uiPriority w:val="99"/>
    <w:semiHidden/>
    <w:unhideWhenUsed/>
    <w:rsid w:val="00877457"/>
    <w:rPr>
      <w:sz w:val="21"/>
      <w:szCs w:val="21"/>
    </w:rPr>
  </w:style>
  <w:style w:type="paragraph" w:styleId="a8">
    <w:name w:val="annotation text"/>
    <w:basedOn w:val="a"/>
    <w:link w:val="a9"/>
    <w:uiPriority w:val="99"/>
    <w:semiHidden/>
    <w:unhideWhenUsed/>
    <w:rsid w:val="00877457"/>
    <w:pPr>
      <w:jc w:val="left"/>
    </w:pPr>
  </w:style>
  <w:style w:type="character" w:customStyle="1" w:styleId="a9">
    <w:name w:val="批注文字 字符"/>
    <w:basedOn w:val="a0"/>
    <w:link w:val="a8"/>
    <w:uiPriority w:val="99"/>
    <w:semiHidden/>
    <w:rsid w:val="00877457"/>
    <w:rPr>
      <w:rFonts w:eastAsia="宋体"/>
      <w:sz w:val="24"/>
    </w:rPr>
  </w:style>
  <w:style w:type="paragraph" w:styleId="aa">
    <w:name w:val="annotation subject"/>
    <w:basedOn w:val="a8"/>
    <w:next w:val="a8"/>
    <w:link w:val="ab"/>
    <w:uiPriority w:val="99"/>
    <w:semiHidden/>
    <w:unhideWhenUsed/>
    <w:rsid w:val="00877457"/>
    <w:rPr>
      <w:b/>
      <w:bCs/>
    </w:rPr>
  </w:style>
  <w:style w:type="character" w:customStyle="1" w:styleId="ab">
    <w:name w:val="批注主题 字符"/>
    <w:basedOn w:val="a9"/>
    <w:link w:val="aa"/>
    <w:uiPriority w:val="99"/>
    <w:semiHidden/>
    <w:rsid w:val="00877457"/>
    <w:rPr>
      <w:rFonts w:eastAsia="宋体"/>
      <w:b/>
      <w:bCs/>
      <w:sz w:val="24"/>
    </w:rPr>
  </w:style>
  <w:style w:type="paragraph" w:styleId="ac">
    <w:name w:val="Balloon Text"/>
    <w:basedOn w:val="a"/>
    <w:link w:val="ad"/>
    <w:uiPriority w:val="99"/>
    <w:semiHidden/>
    <w:unhideWhenUsed/>
    <w:rsid w:val="00877457"/>
    <w:pPr>
      <w:spacing w:line="240" w:lineRule="auto"/>
    </w:pPr>
    <w:rPr>
      <w:sz w:val="18"/>
      <w:szCs w:val="18"/>
    </w:rPr>
  </w:style>
  <w:style w:type="character" w:customStyle="1" w:styleId="ad">
    <w:name w:val="批注框文本 字符"/>
    <w:basedOn w:val="a0"/>
    <w:link w:val="ac"/>
    <w:uiPriority w:val="99"/>
    <w:semiHidden/>
    <w:rsid w:val="00877457"/>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2395">
      <w:bodyDiv w:val="1"/>
      <w:marLeft w:val="0"/>
      <w:marRight w:val="0"/>
      <w:marTop w:val="0"/>
      <w:marBottom w:val="0"/>
      <w:divBdr>
        <w:top w:val="none" w:sz="0" w:space="0" w:color="auto"/>
        <w:left w:val="none" w:sz="0" w:space="0" w:color="auto"/>
        <w:bottom w:val="none" w:sz="0" w:space="0" w:color="auto"/>
        <w:right w:val="none" w:sz="0" w:space="0" w:color="auto"/>
      </w:divBdr>
    </w:div>
    <w:div w:id="580412331">
      <w:bodyDiv w:val="1"/>
      <w:marLeft w:val="0"/>
      <w:marRight w:val="0"/>
      <w:marTop w:val="0"/>
      <w:marBottom w:val="0"/>
      <w:divBdr>
        <w:top w:val="none" w:sz="0" w:space="0" w:color="auto"/>
        <w:left w:val="none" w:sz="0" w:space="0" w:color="auto"/>
        <w:bottom w:val="none" w:sz="0" w:space="0" w:color="auto"/>
        <w:right w:val="none" w:sz="0" w:space="0" w:color="auto"/>
      </w:divBdr>
    </w:div>
    <w:div w:id="811366024">
      <w:bodyDiv w:val="1"/>
      <w:marLeft w:val="0"/>
      <w:marRight w:val="0"/>
      <w:marTop w:val="0"/>
      <w:marBottom w:val="0"/>
      <w:divBdr>
        <w:top w:val="none" w:sz="0" w:space="0" w:color="auto"/>
        <w:left w:val="none" w:sz="0" w:space="0" w:color="auto"/>
        <w:bottom w:val="none" w:sz="0" w:space="0" w:color="auto"/>
        <w:right w:val="none" w:sz="0" w:space="0" w:color="auto"/>
      </w:divBdr>
    </w:div>
    <w:div w:id="1322194602">
      <w:bodyDiv w:val="1"/>
      <w:marLeft w:val="0"/>
      <w:marRight w:val="0"/>
      <w:marTop w:val="0"/>
      <w:marBottom w:val="0"/>
      <w:divBdr>
        <w:top w:val="none" w:sz="0" w:space="0" w:color="auto"/>
        <w:left w:val="none" w:sz="0" w:space="0" w:color="auto"/>
        <w:bottom w:val="none" w:sz="0" w:space="0" w:color="auto"/>
        <w:right w:val="none" w:sz="0" w:space="0" w:color="auto"/>
      </w:divBdr>
    </w:div>
    <w:div w:id="1740905176">
      <w:bodyDiv w:val="1"/>
      <w:marLeft w:val="0"/>
      <w:marRight w:val="0"/>
      <w:marTop w:val="0"/>
      <w:marBottom w:val="0"/>
      <w:divBdr>
        <w:top w:val="none" w:sz="0" w:space="0" w:color="auto"/>
        <w:left w:val="none" w:sz="0" w:space="0" w:color="auto"/>
        <w:bottom w:val="none" w:sz="0" w:space="0" w:color="auto"/>
        <w:right w:val="none" w:sz="0" w:space="0" w:color="auto"/>
      </w:divBdr>
    </w:div>
    <w:div w:id="191732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15</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2017-11-14T10:05:00Z</dcterms:created>
  <dcterms:modified xsi:type="dcterms:W3CDTF">2017-11-16T10:47:00Z</dcterms:modified>
</cp:coreProperties>
</file>